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0A0A0A" w:val="clear"/>
            <w:tcMar>
              <w:top w:type="dxa" w:w="280"/>
              <w:left w:type="dxa" w:w="280"/>
              <w:bottom w:type="dxa" w:w="280"/>
              <w:right w:type="dxa" w:w="280"/>
            </w:tcMar>
          </w:tcPr>
          <w:p>
            <w:pPr>
              <w:spacing w:after="80" w:before="0"/>
              <w:jc w:val="left"/>
            </w:pPr>
            <w:r>
              <w:rPr>
                <w:rFonts w:ascii="Arial" w:cs="Arial" w:eastAsia="Arial" w:hAnsi="Arial"/>
                <w:b/>
                <w:bCs/>
                <w:i w:val="false"/>
                <w:iCs w:val="false"/>
                <w:color w:val="FFFFFF"/>
                <w:sz w:val="44"/>
                <w:szCs w:val="44"/>
              </w:rPr>
              <w:t xml:space="preserve">Terms of Service</w:t>
            </w:r>
          </w:p>
          <w:p>
            <w:pPr>
              <w:spacing w:after="60" w:before="0"/>
              <w:jc w:val="left"/>
            </w:pPr>
            <w:r>
              <w:rPr>
                <w:rFonts w:ascii="Arial" w:cs="Arial" w:eastAsia="Arial" w:hAnsi="Arial"/>
                <w:b w:val="false"/>
                <w:bCs w:val="false"/>
                <w:i w:val="false"/>
                <w:iCs w:val="false"/>
                <w:color w:val="86EFAC"/>
                <w:sz w:val="22"/>
                <w:szCs w:val="22"/>
              </w:rPr>
              <w:t xml:space="preserve">Huntoso LLC  —  PAM-Pro Privileged Access Management</w:t>
            </w:r>
          </w:p>
          <w:p>
            <w:pPr>
              <w:spacing w:after="0" w:before="0"/>
              <w:jc w:val="left"/>
            </w:pPr>
            <w:r>
              <w:rPr>
                <w:rFonts w:ascii="Arial" w:cs="Arial" w:eastAsia="Arial" w:hAnsi="Arial"/>
                <w:b w:val="false"/>
                <w:bCs w:val="false"/>
                <w:i w:val="false"/>
                <w:iCs w:val="false"/>
                <w:color w:val="6B7280"/>
                <w:sz w:val="17"/>
                <w:szCs w:val="17"/>
              </w:rPr>
              <w:t xml:space="preserve">Effective Date: May 1, 2026  —  Last Updated: May 1, 2026</w:t>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374151"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F9FAFB"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PLEASE READ THESE TERMS CAREFULLY. BY ACCESSING OR USING THE HUNTOSO PAM-PRO SERVICE, YOU AGREE TO BE BOUND BY THESE TERMS OF SERVICE. IF YOU DO NOT AGREE, DO NOT USE THE SERVICE.</w:t>
            </w:r>
          </w:p>
        </w:tc>
      </w:tr>
    </w:tbl>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  Definitions</w:t>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E5E7EB" w:sz="1"/>
              <w:left w:val="single" w:color="E5E7EB" w:sz="1"/>
              <w:bottom w:val="single" w:color="E5E7EB" w:sz="1"/>
              <w:right w:val="single" w:color="E5E7EB" w:sz="1"/>
            </w:tcBorders>
            <w:shd w:fill="374151"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18"/>
                <w:szCs w:val="18"/>
              </w:rPr>
              <w:t xml:space="preserve">Term</w:t>
            </w:r>
          </w:p>
        </w:tc>
        <w:tc>
          <w:tcPr>
            <w:tcW w:type="dxa" w:w="6960"/>
            <w:tcBorders>
              <w:top w:val="single" w:color="E5E7EB" w:sz="1"/>
              <w:left w:val="single" w:color="E5E7EB" w:sz="1"/>
              <w:bottom w:val="single" w:color="E5E7EB" w:sz="1"/>
              <w:right w:val="single" w:color="E5E7EB" w:sz="1"/>
            </w:tcBorders>
            <w:shd w:fill="374151"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18"/>
                <w:szCs w:val="18"/>
              </w:rPr>
              <w:t xml:space="preserve">Definition</w:t>
            </w:r>
          </w:p>
        </w:tc>
      </w:tr>
      <w:tr>
        <w:tc>
          <w:tcPr>
            <w:tcW w:type="dxa" w:w="24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“Huntoso,” “we,” “our”</w:t>
            </w:r>
          </w:p>
        </w:tc>
        <w:tc>
          <w:tcPr>
            <w:tcW w:type="dxa" w:w="69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Huntoso LLC, a limited liability company organized under the laws of [STATE].</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“Service”</w:t>
            </w:r>
          </w:p>
        </w:tc>
        <w:tc>
          <w:tcPr>
            <w:tcW w:type="dxa" w:w="69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PAM-Pro privileged access management platform, including the web application, APIs, and all associated features, made available at huntoso.ai.</w:t>
            </w:r>
          </w:p>
        </w:tc>
      </w:tr>
      <w:tr>
        <w:tc>
          <w:tcPr>
            <w:tcW w:type="dxa" w:w="24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“Customer,” “you”</w:t>
            </w:r>
          </w:p>
        </w:tc>
        <w:tc>
          <w:tcPr>
            <w:tcW w:type="dxa" w:w="69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organization or individual that has subscribed to the Service under these Terms.</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“User”</w:t>
            </w:r>
          </w:p>
        </w:tc>
        <w:tc>
          <w:tcPr>
            <w:tcW w:type="dxa" w:w="69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Any individual authorized by the Customer to access the Service on behalf of the Customer.</w:t>
            </w:r>
          </w:p>
        </w:tc>
      </w:tr>
      <w:tr>
        <w:tc>
          <w:tcPr>
            <w:tcW w:type="dxa" w:w="24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“Tenant”</w:t>
            </w:r>
          </w:p>
        </w:tc>
        <w:tc>
          <w:tcPr>
            <w:tcW w:type="dxa" w:w="69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Customer’s isolated, provisioned instance of the Service within Huntoso’s multi-tenant infrastructure.</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“Client Secret Hash”</w:t>
            </w:r>
          </w:p>
        </w:tc>
        <w:tc>
          <w:tcPr>
            <w:tcW w:type="dxa" w:w="69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cryptographic configuration hash generated in the Customer’s environment and used to encrypt all vault payloads. Huntoso does not possess, store, or have the ability to recover this hash.</w:t>
            </w:r>
          </w:p>
        </w:tc>
      </w:tr>
      <w:tr>
        <w:tc>
          <w:tcPr>
            <w:tcW w:type="dxa" w:w="24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“Vault”</w:t>
            </w:r>
          </w:p>
        </w:tc>
        <w:tc>
          <w:tcPr>
            <w:tcW w:type="dxa" w:w="69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collection of encrypted privileged credentials and secrets managed within the Customer’s Tenant.</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“Subscription”</w:t>
            </w:r>
          </w:p>
        </w:tc>
        <w:tc>
          <w:tcPr>
            <w:tcW w:type="dxa" w:w="69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The plan tier selected by the Customer, billed on a recurring basis through Stripe.</w:t>
            </w:r>
          </w:p>
        </w:tc>
      </w:tr>
      <w:tr>
        <w:tc>
          <w:tcPr>
            <w:tcW w:type="dxa" w:w="24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“Entra ID”</w:t>
            </w:r>
          </w:p>
        </w:tc>
        <w:tc>
          <w:tcPr>
            <w:tcW w:type="dxa" w:w="69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Microsoft Entra ID (formerly Azure Active Directory), the identity provider integrated with PAM-Pro for authentication.</w:t>
            </w:r>
          </w:p>
        </w:tc>
      </w:tr>
      <w:tr>
        <w:tc>
          <w:tcPr>
            <w:tcW w:type="dxa" w:w="240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bCs/>
                <w:i w:val="false"/>
                <w:iCs w:val="false"/>
                <w:color w:val="374151"/>
                <w:sz w:val="18"/>
                <w:szCs w:val="18"/>
              </w:rPr>
              <w:t xml:space="preserve">“Wall of Silence” or “WORM Logs”</w:t>
            </w:r>
          </w:p>
        </w:tc>
        <w:tc>
          <w:tcPr>
            <w:tcW w:type="dxa" w:w="6960"/>
            <w:tcBorders>
              <w:top w:val="single" w:color="E5E7EB" w:sz="1"/>
              <w:left w:val="single" w:color="E5E7EB" w:sz="1"/>
              <w:bottom w:val="single" w:color="E5E7EB" w:sz="1"/>
              <w:right w:val="single" w:color="E5E7EB" w:sz="1"/>
            </w:tcBorders>
            <w:shd w:fill="FFFFFF"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111111"/>
                <w:sz w:val="18"/>
                <w:szCs w:val="18"/>
              </w:rPr>
              <w:t xml:space="preserve">Write Once, Read Many immutable audit logs generated by the Service, which cannot be modified or deleted once written.</w:t>
            </w:r>
          </w:p>
        </w:tc>
      </w:tr>
    </w:tbl>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2.  Service Description</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PAM-Pro is a cloud-based privileged access management platform that enables Customers to securely store, rotate, and govern access to privileged credentials across their IT environments. Key architectural characteristics include:</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Zero-Knowledge Architecture: Vault contents are encrypted with the Customer’s Client Secret Hash before storage. Huntoso is technically incapable of accessing vault contents.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Microsoft Entra ID Integration: Authentication and identity governance are delegated entirely to the Customer’s own Microsoft Entra ID tenant. Huntoso does not maintain standalone credential stores.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Multi-Tenant Isolation: Each Customer’s data is logically isolated within dedicated storage containers scoped to their Tenant.</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Immutable Audit Logging: All privileged actions are recorded in WORM-compliant audit logs that cannot be altered after creation.</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Just-in-Time (JIT) Access: Privileged permissions are granted for defined session windows and automatically revoked upon expiration or password rotation.</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3.  Account Registration and Eligibility</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3.1  Eligibility</w:t>
      </w:r>
    </w:p>
    <w:p>
      <w:pPr>
        <w:spacing w:after="80" w:before="40"/>
        <w:jc w:val="left"/>
      </w:pPr>
      <w:r>
        <w:rPr>
          <w:rFonts w:ascii="Arial" w:cs="Arial" w:eastAsia="Arial" w:hAnsi="Arial"/>
          <w:b w:val="false"/>
          <w:bCs w:val="false"/>
          <w:i w:val="false"/>
          <w:iCs w:val="false"/>
          <w:color w:val="374151"/>
          <w:sz w:val="19"/>
          <w:szCs w:val="19"/>
        </w:rPr>
        <w:t xml:space="preserve">You must be at least 18 years of age and have the legal authority to enter into contracts on behalf of the Customer organization. The Service is intended for business use only and is not available to individuals acting in a personal consumer capacity.</w:t>
      </w:r>
    </w:p>
    <w:p>
      <w:pPr>
        <w:spacing w:after="80" w:before="180"/>
        <w:jc w:val="left"/>
      </w:pPr>
      <w:r>
        <w:rPr>
          <w:rFonts w:ascii="Arial" w:cs="Arial" w:eastAsia="Arial" w:hAnsi="Arial"/>
          <w:b/>
          <w:bCs/>
          <w:i w:val="false"/>
          <w:iCs w:val="false"/>
          <w:color w:val="111111"/>
          <w:sz w:val="22"/>
          <w:szCs w:val="22"/>
        </w:rPr>
        <w:t xml:space="preserve">3.2  Account Accuracy</w:t>
      </w:r>
    </w:p>
    <w:p>
      <w:pPr>
        <w:spacing w:after="80" w:before="40"/>
        <w:jc w:val="left"/>
      </w:pPr>
      <w:r>
        <w:rPr>
          <w:rFonts w:ascii="Arial" w:cs="Arial" w:eastAsia="Arial" w:hAnsi="Arial"/>
          <w:b w:val="false"/>
          <w:bCs w:val="false"/>
          <w:i w:val="false"/>
          <w:iCs w:val="false"/>
          <w:color w:val="374151"/>
          <w:sz w:val="19"/>
          <w:szCs w:val="19"/>
        </w:rPr>
        <w:t xml:space="preserve">You agree to provide accurate, current, and complete information during registration and to update it as necessary to keep it accurate. Huntoso reserves the right to suspend or terminate accounts registered with inaccurate or fraudulent information.</w:t>
      </w:r>
    </w:p>
    <w:p>
      <w:pPr>
        <w:spacing w:after="80" w:before="180"/>
        <w:jc w:val="left"/>
      </w:pPr>
      <w:r>
        <w:rPr>
          <w:rFonts w:ascii="Arial" w:cs="Arial" w:eastAsia="Arial" w:hAnsi="Arial"/>
          <w:b/>
          <w:bCs/>
          <w:i w:val="false"/>
          <w:iCs w:val="false"/>
          <w:color w:val="111111"/>
          <w:sz w:val="22"/>
          <w:szCs w:val="22"/>
        </w:rPr>
        <w:t xml:space="preserve">3.3  Account Security</w:t>
      </w:r>
    </w:p>
    <w:p>
      <w:pPr>
        <w:spacing w:after="80" w:before="40"/>
        <w:jc w:val="left"/>
      </w:pPr>
      <w:r>
        <w:rPr>
          <w:rFonts w:ascii="Arial" w:cs="Arial" w:eastAsia="Arial" w:hAnsi="Arial"/>
          <w:b w:val="false"/>
          <w:bCs w:val="false"/>
          <w:i w:val="false"/>
          <w:iCs w:val="false"/>
          <w:color w:val="374151"/>
          <w:sz w:val="19"/>
          <w:szCs w:val="19"/>
        </w:rPr>
        <w:t xml:space="preserve">You are responsible for maintaining the security of your Entra ID tenant and all User credentials that provide access to PAM-Pro. You must notify Huntoso immediately at security@huntoso.ai if you suspect unauthorized access to your account.</w:t>
      </w:r>
    </w:p>
    <w:p>
      <w:pPr>
        <w:spacing w:after="80" w:before="180"/>
        <w:jc w:val="left"/>
      </w:pPr>
      <w:r>
        <w:rPr>
          <w:rFonts w:ascii="Arial" w:cs="Arial" w:eastAsia="Arial" w:hAnsi="Arial"/>
          <w:b/>
          <w:bCs/>
          <w:i w:val="false"/>
          <w:iCs w:val="false"/>
          <w:color w:val="111111"/>
          <w:sz w:val="22"/>
          <w:szCs w:val="22"/>
        </w:rPr>
        <w:t xml:space="preserve">3.4  Client Secret Hash Responsibility</w:t>
      </w:r>
    </w:p>
    <w:p>
      <w:pPr>
        <w:spacing w:after="80" w:before="40"/>
        <w:jc w:val="left"/>
      </w:pPr>
      <w:r>
        <w:rPr>
          <w:rFonts w:ascii="Arial" w:cs="Arial" w:eastAsia="Arial" w:hAnsi="Arial"/>
          <w:b w:val="false"/>
          <w:bCs w:val="false"/>
          <w:i w:val="false"/>
          <w:iCs w:val="false"/>
          <w:color w:val="374151"/>
          <w:sz w:val="19"/>
          <w:szCs w:val="19"/>
        </w:rPr>
        <w:t xml:space="preserve">You acknowledge and accept full and sole responsibility for the generation, storage, and protection of your Client Secret Hash. You must maintain secure offline backup copies of your Client Secret Hash independent of Huntoso’s infrastructure.</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DC2626"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4.  Shared Responsibility Model and Irrevocable Data Loss</w:t>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DC2626"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FFF1F2"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CRITICAL NOTICE — READ CAREFULLY: The following clause describes a fundamental characteristic of PAM-Pro’s architecture. It is not a limitation of liability in the traditional sense. It describes the mathematical reality of the zero-knowledge design you are subscribing to.</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4.1  The Hash Lock Principle</w:t>
      </w:r>
    </w:p>
    <w:p>
      <w:pPr>
        <w:spacing w:after="80" w:before="40"/>
        <w:jc w:val="left"/>
      </w:pPr>
      <w:r>
        <w:rPr>
          <w:rFonts w:ascii="Arial" w:cs="Arial" w:eastAsia="Arial" w:hAnsi="Arial"/>
          <w:b w:val="false"/>
          <w:bCs w:val="false"/>
          <w:i w:val="false"/>
          <w:iCs w:val="false"/>
          <w:color w:val="374151"/>
          <w:sz w:val="19"/>
          <w:szCs w:val="19"/>
        </w:rPr>
        <w:t xml:space="preserve">PAM-Pro enforces strict cryptographic isolation. Your Client Secret Hash is used to independently encrypt all Vault payloads and secret names before they are stored on Huntoso infrastructure. HUNTOSO DOES NOT POSSESS, STORE, TRANSMIT, OR HAVE THE ABILITY TO RECOVER YOUR CLIENT SECRET HASH AT ANY TIME, UNDER ANY CIRCUMSTANCES.</w:t>
      </w:r>
    </w:p>
    <w:p>
      <w:pPr>
        <w:spacing w:after="80" w:before="180"/>
        <w:jc w:val="left"/>
      </w:pPr>
      <w:r>
        <w:rPr>
          <w:rFonts w:ascii="Arial" w:cs="Arial" w:eastAsia="Arial" w:hAnsi="Arial"/>
          <w:b/>
          <w:bCs/>
          <w:i w:val="false"/>
          <w:iCs w:val="false"/>
          <w:color w:val="111111"/>
          <w:sz w:val="22"/>
          <w:szCs w:val="22"/>
        </w:rPr>
        <w:t xml:space="preserve">4.2  Irrevocable Data Loss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DC2626"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FFF1F2"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WARNING: Any modification, corruption, deletion, or loss of your Client Secret Hash will mathematically and permanently sever access to all Vault payloads encrypted with that hash. In such an event: (a) all previously stored privileged credentials will become permanently unrecoverable; (b) mandatory key rotation and password resets for all managed credentials will be required; and (c) NEITHER THE CUSTOMER NOR HUNTOSO STAFF CAN RECOVER THE VAULT CONTENTS UNDER ANY CIRCUMSTANCES, including pursuant to court order, law enforcement demand, or any other legal process.</w:t>
            </w:r>
          </w:p>
        </w:tc>
      </w:tr>
    </w:tbl>
    <w:p>
      <w:pPr>
        <w:spacing w:after="6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This is a deliberate security feature of the zero-knowledge architecture, not a service deficiency or negligent act by Huntoso.</w:t>
      </w:r>
    </w:p>
    <w:p>
      <w:pPr>
        <w:spacing w:after="80" w:before="180"/>
        <w:jc w:val="left"/>
      </w:pPr>
      <w:r>
        <w:rPr>
          <w:rFonts w:ascii="Arial" w:cs="Arial" w:eastAsia="Arial" w:hAnsi="Arial"/>
          <w:b/>
          <w:bCs/>
          <w:i w:val="false"/>
          <w:iCs w:val="false"/>
          <w:color w:val="111111"/>
          <w:sz w:val="22"/>
          <w:szCs w:val="22"/>
        </w:rPr>
        <w:t xml:space="preserve">4.3  Customer’s Sole Responsibility</w:t>
      </w:r>
    </w:p>
    <w:p>
      <w:pPr>
        <w:spacing w:after="80" w:before="40"/>
        <w:jc w:val="left"/>
      </w:pPr>
      <w:r>
        <w:rPr>
          <w:rFonts w:ascii="Arial" w:cs="Arial" w:eastAsia="Arial" w:hAnsi="Arial"/>
          <w:b w:val="false"/>
          <w:bCs w:val="false"/>
          <w:i w:val="false"/>
          <w:iCs w:val="false"/>
          <w:color w:val="374151"/>
          <w:sz w:val="19"/>
          <w:szCs w:val="19"/>
        </w:rPr>
        <w:t xml:space="preserve">The Customer assumes sole and exclusive responsibility for:</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Generating and securing the Client Secret Hash in the Customer’s own environment</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Maintaining multiple secure, geographically distributed, offline backup copies of the Client Secret Hash</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Ensuring that the Client Secret Hash is not lost, corrupted, stolen, or disclosed to unauthorized parties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Rotating the Client Secret Hash in accordance with the Customer’s own security policies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All consequences arising from the loss, modification, or destruction of the Client Secret Hash</w:t>
      </w:r>
    </w:p>
    <w:p>
      <w:pPr>
        <w:spacing w:after="80" w:before="180"/>
        <w:jc w:val="left"/>
      </w:pPr>
      <w:r>
        <w:rPr>
          <w:rFonts w:ascii="Arial" w:cs="Arial" w:eastAsia="Arial" w:hAnsi="Arial"/>
          <w:b/>
          <w:bCs/>
          <w:i w:val="false"/>
          <w:iCs w:val="false"/>
          <w:color w:val="111111"/>
          <w:sz w:val="22"/>
          <w:szCs w:val="22"/>
        </w:rPr>
        <w:t xml:space="preserve">4.4  Huntoso’s Explicit Non-Responsibility</w:t>
      </w:r>
    </w:p>
    <w:p>
      <w:pPr>
        <w:spacing w:after="80" w:before="40"/>
        <w:jc w:val="left"/>
      </w:pPr>
      <w:r>
        <w:rPr>
          <w:rFonts w:ascii="Arial" w:cs="Arial" w:eastAsia="Arial" w:hAnsi="Arial"/>
          <w:b w:val="false"/>
          <w:bCs w:val="false"/>
          <w:i w:val="false"/>
          <w:iCs w:val="false"/>
          <w:color w:val="374151"/>
          <w:sz w:val="19"/>
          <w:szCs w:val="19"/>
        </w:rPr>
        <w:t xml:space="preserve">Huntoso expressly disclaims any and all liability, obligation, or responsibility for:</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Any loss of vault contents resulting from loss, corruption, or destruction of the Client Secret Hash</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Any inability to recover vault contents following a security incident, cyber attack, or ransomware event affecting the Customer’s Client Secret Hash</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Any business interruption, financial loss, regulatory penalty, or other harm resulting from irrecoverable vault loss</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1D4ED8"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5.  Microsoft Entra ID Dependency and Uptime</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5.1  Authentication Architecture</w:t>
      </w:r>
    </w:p>
    <w:p>
      <w:pPr>
        <w:spacing w:after="80" w:before="40"/>
        <w:jc w:val="left"/>
      </w:pPr>
      <w:r>
        <w:rPr>
          <w:rFonts w:ascii="Arial" w:cs="Arial" w:eastAsia="Arial" w:hAnsi="Arial"/>
          <w:b w:val="false"/>
          <w:bCs w:val="false"/>
          <w:i w:val="false"/>
          <w:iCs w:val="false"/>
          <w:color w:val="374151"/>
          <w:sz w:val="19"/>
          <w:szCs w:val="19"/>
        </w:rPr>
        <w:t xml:space="preserve">PAM-Pro is architected to maintain absolute identity sovereignty by integrating exclusively with the Customer’s sovereign Microsoft Entra ID tenant. Huntoso deliberately does not store local “Break-Glass” credentials or emergency access accounts on Huntoso infrastructure. This eliminates a significant class of credential theft risk.</w:t>
      </w:r>
    </w:p>
    <w:p>
      <w:pPr>
        <w:spacing w:after="80" w:before="180"/>
        <w:jc w:val="left"/>
      </w:pPr>
      <w:r>
        <w:rPr>
          <w:rFonts w:ascii="Arial" w:cs="Arial" w:eastAsia="Arial" w:hAnsi="Arial"/>
          <w:b/>
          <w:bCs/>
          <w:i w:val="false"/>
          <w:iCs w:val="false"/>
          <w:color w:val="111111"/>
          <w:sz w:val="22"/>
          <w:szCs w:val="22"/>
        </w:rPr>
        <w:t xml:space="preserve">5.2  Dependency and Uptime Limitation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1D4ED8"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EFF6FF"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IMPORTANT: Because PAM-Pro relies on Microsoft Entra ID for all authentication, if Microsoft Entra ID experiences a regional or global outage, or if the Customer’s Entra ID tenant becomes inaccessible for any reason, access to PAM-Pro will be suspended for the duration of the outage. The Customer’s uptime SLA for PAM-Pro is strictly bounded by and subordinate to Microsoft’s Entra ID availability SLA.</w:t>
            </w:r>
          </w:p>
        </w:tc>
      </w:tr>
    </w:tbl>
    <w:p>
      <w:pPr>
        <w:spacing w:after="6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Huntoso targets 99.9% platform availability (excluding Microsoft-caused downtime) on its standard SaaS tier. Huntoso’s availability commitments do not cover outages caused by Microsoft service degradation, the Customer’s Entra ID configuration, or network conditions outside Huntoso’s control.</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6.  Audit Log Retention Policy</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6.1  Default SaaS Retention</w:t>
      </w:r>
    </w:p>
    <w:p>
      <w:pPr>
        <w:spacing w:after="80" w:before="40"/>
        <w:jc w:val="left"/>
      </w:pPr>
      <w:r>
        <w:rPr>
          <w:rFonts w:ascii="Arial" w:cs="Arial" w:eastAsia="Arial" w:hAnsi="Arial"/>
          <w:b w:val="false"/>
          <w:bCs w:val="false"/>
          <w:i w:val="false"/>
          <w:iCs w:val="false"/>
          <w:color w:val="374151"/>
          <w:sz w:val="19"/>
          <w:szCs w:val="19"/>
        </w:rPr>
        <w:t xml:space="preserve">On the standard SaaS tier, PAM-Pro enforces a 90-day rolling retention window for operational telemetry and WORM audit logs. Logs older than 90 days are automatically purged from shared infrastructure. This policy is necessary to manage compute costs fairly across the shared multi-tenant platform.</w:t>
      </w:r>
    </w:p>
    <w:p>
      <w:pPr>
        <w:spacing w:after="80" w:before="180"/>
        <w:jc w:val="left"/>
      </w:pPr>
      <w:r>
        <w:rPr>
          <w:rFonts w:ascii="Arial" w:cs="Arial" w:eastAsia="Arial" w:hAnsi="Arial"/>
          <w:b/>
          <w:bCs/>
          <w:i w:val="false"/>
          <w:iCs w:val="false"/>
          <w:color w:val="111111"/>
          <w:sz w:val="22"/>
          <w:szCs w:val="22"/>
        </w:rPr>
        <w:t xml:space="preserve">6.2  Extended Retention</w:t>
      </w:r>
    </w:p>
    <w:p>
      <w:pPr>
        <w:spacing w:after="80" w:before="40"/>
        <w:jc w:val="left"/>
      </w:pPr>
      <w:r>
        <w:rPr>
          <w:rFonts w:ascii="Arial" w:cs="Arial" w:eastAsia="Arial" w:hAnsi="Arial"/>
          <w:b w:val="false"/>
          <w:bCs w:val="false"/>
          <w:i w:val="false"/>
          <w:iCs w:val="false"/>
          <w:color w:val="374151"/>
          <w:sz w:val="19"/>
          <w:szCs w:val="19"/>
        </w:rPr>
        <w:t xml:space="preserve">Customers requiring retention periods beyond 90 days (for regulatory compliance, long-term audit archival, or cyber insurance purposes) must configure Bring Your Own Azure Blob Storage (BYO Storage) synchronization. Huntoso provides documentation and configuration support for BYO Storage integration. Huntoso assumes no liability for historical logs beyond the default 90-day window on shared infrastructure.</w:t>
      </w:r>
    </w:p>
    <w:p>
      <w:pPr>
        <w:spacing w:after="80" w:before="180"/>
        <w:jc w:val="left"/>
      </w:pPr>
      <w:r>
        <w:rPr>
          <w:rFonts w:ascii="Arial" w:cs="Arial" w:eastAsia="Arial" w:hAnsi="Arial"/>
          <w:b/>
          <w:bCs/>
          <w:i w:val="false"/>
          <w:iCs w:val="false"/>
          <w:color w:val="111111"/>
          <w:sz w:val="22"/>
          <w:szCs w:val="22"/>
        </w:rPr>
        <w:t xml:space="preserve">6.3  WORM Immutability</w:t>
      </w:r>
    </w:p>
    <w:p>
      <w:pPr>
        <w:spacing w:after="80" w:before="40"/>
        <w:jc w:val="left"/>
      </w:pPr>
      <w:r>
        <w:rPr>
          <w:rFonts w:ascii="Arial" w:cs="Arial" w:eastAsia="Arial" w:hAnsi="Arial"/>
          <w:b w:val="false"/>
          <w:bCs w:val="false"/>
          <w:i w:val="false"/>
          <w:iCs w:val="false"/>
          <w:color w:val="374151"/>
          <w:sz w:val="19"/>
          <w:szCs w:val="19"/>
        </w:rPr>
        <w:t xml:space="preserve">Audit logs written by PAM-Pro are protected by Azure Blob immutability policies and cannot be modified, backdated, or deleted once written, including by Huntoso staff. This immutability guarantee is a feature of the service and constitutes the audit evidence record.</w:t>
      </w:r>
    </w:p>
    <w:p>
      <w:pPr>
        <w:spacing w:after="80" w:before="180"/>
        <w:jc w:val="left"/>
      </w:pPr>
      <w:r>
        <w:rPr>
          <w:rFonts w:ascii="Arial" w:cs="Arial" w:eastAsia="Arial" w:hAnsi="Arial"/>
          <w:b/>
          <w:bCs/>
          <w:i w:val="false"/>
          <w:iCs w:val="false"/>
          <w:color w:val="111111"/>
          <w:sz w:val="22"/>
          <w:szCs w:val="22"/>
        </w:rPr>
        <w:t xml:space="preserve">6.4  Customer-Configured WORM Retention</w:t>
      </w:r>
    </w:p>
    <w:p>
      <w:pPr>
        <w:spacing w:after="80" w:before="40"/>
        <w:jc w:val="left"/>
      </w:pPr>
      <w:r>
        <w:rPr>
          <w:rFonts w:ascii="Arial" w:cs="Arial" w:eastAsia="Arial" w:hAnsi="Arial"/>
          <w:b w:val="false"/>
          <w:bCs w:val="false"/>
          <w:i w:val="false"/>
          <w:iCs w:val="false"/>
          <w:color w:val="374151"/>
          <w:sz w:val="19"/>
          <w:szCs w:val="19"/>
        </w:rPr>
        <w:t xml:space="preserve">Enterprise tier customers may configure the WORM retention period (minimum 1 year for compliance-sensitive deployments). Once a WORM retention period is set and the policy is locked, neither the Customer nor Huntoso can delete or modify those logs until the policy expires. Customers must ensure the configured retention period aligns with their regulatory obligations.</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7.  Subscriptions, Billing, and Payment</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7.1  Subscription Plans</w:t>
      </w:r>
    </w:p>
    <w:p>
      <w:pPr>
        <w:spacing w:after="80" w:before="40"/>
        <w:jc w:val="left"/>
      </w:pPr>
      <w:r>
        <w:rPr>
          <w:rFonts w:ascii="Arial" w:cs="Arial" w:eastAsia="Arial" w:hAnsi="Arial"/>
          <w:b w:val="false"/>
          <w:bCs w:val="false"/>
          <w:i w:val="false"/>
          <w:iCs w:val="false"/>
          <w:color w:val="374151"/>
          <w:sz w:val="19"/>
          <w:szCs w:val="19"/>
        </w:rPr>
        <w:t xml:space="preserve">PAM-Pro is offered on a subscription basis. Available tiers and pricing are published at huntoso.ai/pricing. Huntoso reserves the right to modify pricing upon 30 days’ written notice.</w:t>
      </w:r>
    </w:p>
    <w:p>
      <w:pPr>
        <w:spacing w:after="80" w:before="180"/>
        <w:jc w:val="left"/>
      </w:pPr>
      <w:r>
        <w:rPr>
          <w:rFonts w:ascii="Arial" w:cs="Arial" w:eastAsia="Arial" w:hAnsi="Arial"/>
          <w:b/>
          <w:bCs/>
          <w:i w:val="false"/>
          <w:iCs w:val="false"/>
          <w:color w:val="111111"/>
          <w:sz w:val="22"/>
          <w:szCs w:val="22"/>
        </w:rPr>
        <w:t xml:space="preserve">7.2  Billing</w:t>
      </w:r>
    </w:p>
    <w:p>
      <w:pPr>
        <w:spacing w:after="80" w:before="40"/>
        <w:jc w:val="left"/>
      </w:pPr>
      <w:r>
        <w:rPr>
          <w:rFonts w:ascii="Arial" w:cs="Arial" w:eastAsia="Arial" w:hAnsi="Arial"/>
          <w:b w:val="false"/>
          <w:bCs w:val="false"/>
          <w:i w:val="false"/>
          <w:iCs w:val="false"/>
          <w:color w:val="374151"/>
          <w:sz w:val="19"/>
          <w:szCs w:val="19"/>
        </w:rPr>
        <w:t xml:space="preserve">Subscriptions are billed on a recurring basis (monthly or annually as selected) through Stripe, Inc. By subscribing, you authorize Huntoso to charge your payment method on file for all applicable fees. Invoices are issued automatically and accessible through the Stripe Customer Portal.</w:t>
      </w:r>
    </w:p>
    <w:p>
      <w:pPr>
        <w:spacing w:after="80" w:before="180"/>
        <w:jc w:val="left"/>
      </w:pPr>
      <w:r>
        <w:rPr>
          <w:rFonts w:ascii="Arial" w:cs="Arial" w:eastAsia="Arial" w:hAnsi="Arial"/>
          <w:b/>
          <w:bCs/>
          <w:i w:val="false"/>
          <w:iCs w:val="false"/>
          <w:color w:val="111111"/>
          <w:sz w:val="22"/>
          <w:szCs w:val="22"/>
        </w:rPr>
        <w:t xml:space="preserve">7.3  Failed Payments</w:t>
      </w:r>
    </w:p>
    <w:p>
      <w:pPr>
        <w:spacing w:after="80" w:before="40"/>
        <w:jc w:val="left"/>
      </w:pPr>
      <w:r>
        <w:rPr>
          <w:rFonts w:ascii="Arial" w:cs="Arial" w:eastAsia="Arial" w:hAnsi="Arial"/>
          <w:b w:val="false"/>
          <w:bCs w:val="false"/>
          <w:i w:val="false"/>
          <w:iCs w:val="false"/>
          <w:color w:val="374151"/>
          <w:sz w:val="19"/>
          <w:szCs w:val="19"/>
        </w:rPr>
        <w:t xml:space="preserve">If a payment fails, Huntoso will notify you and provide a 7-day grace period during which the Service remains available. If payment is not received within the grace period, the Service will be set to read-only mode. After an additional 14 days without resolution, the Service may be suspended. Huntoso is not liable for data consequences resulting from suspension due to non-payment.</w:t>
      </w:r>
    </w:p>
    <w:p>
      <w:pPr>
        <w:spacing w:after="80" w:before="180"/>
        <w:jc w:val="left"/>
      </w:pPr>
      <w:r>
        <w:rPr>
          <w:rFonts w:ascii="Arial" w:cs="Arial" w:eastAsia="Arial" w:hAnsi="Arial"/>
          <w:b/>
          <w:bCs/>
          <w:i w:val="false"/>
          <w:iCs w:val="false"/>
          <w:color w:val="111111"/>
          <w:sz w:val="22"/>
          <w:szCs w:val="22"/>
        </w:rPr>
        <w:t xml:space="preserve">7.4  Refunds</w:t>
      </w:r>
    </w:p>
    <w:p>
      <w:pPr>
        <w:spacing w:after="80" w:before="40"/>
        <w:jc w:val="left"/>
      </w:pPr>
      <w:r>
        <w:rPr>
          <w:rFonts w:ascii="Arial" w:cs="Arial" w:eastAsia="Arial" w:hAnsi="Arial"/>
          <w:b w:val="false"/>
          <w:bCs w:val="false"/>
          <w:i w:val="false"/>
          <w:iCs w:val="false"/>
          <w:color w:val="374151"/>
          <w:sz w:val="19"/>
          <w:szCs w:val="19"/>
        </w:rPr>
        <w:t xml:space="preserve">Subscription fees are non-refundable except as required by applicable law. If you cancel your subscription, you retain access to the Service through the end of your current billing period.</w:t>
      </w:r>
    </w:p>
    <w:p>
      <w:pPr>
        <w:spacing w:after="80" w:before="180"/>
        <w:jc w:val="left"/>
      </w:pPr>
      <w:r>
        <w:rPr>
          <w:rFonts w:ascii="Arial" w:cs="Arial" w:eastAsia="Arial" w:hAnsi="Arial"/>
          <w:b/>
          <w:bCs/>
          <w:i w:val="false"/>
          <w:iCs w:val="false"/>
          <w:color w:val="111111"/>
          <w:sz w:val="22"/>
          <w:szCs w:val="22"/>
        </w:rPr>
        <w:t xml:space="preserve">7.5  License Limits</w:t>
      </w:r>
    </w:p>
    <w:p>
      <w:pPr>
        <w:spacing w:after="80" w:before="40"/>
        <w:jc w:val="left"/>
      </w:pPr>
      <w:r>
        <w:rPr>
          <w:rFonts w:ascii="Arial" w:cs="Arial" w:eastAsia="Arial" w:hAnsi="Arial"/>
          <w:b w:val="false"/>
          <w:bCs w:val="false"/>
          <w:i w:val="false"/>
          <w:iCs w:val="false"/>
          <w:color w:val="374151"/>
          <w:sz w:val="19"/>
          <w:szCs w:val="19"/>
        </w:rPr>
        <w:t xml:space="preserve">Each subscription tier includes a maximum number of administrator accounts (MaxAdmins) as defined in your plan. The Service enforces this limit programmatically. Adding administrators beyond the licensed count requires upgrading to a higher tier.</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8.  Acceptable Use Policy</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You agree not to use PAM-Pro for any of the following:</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Any illegal purpose or in violation of applicable local, state, national, or international law</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Storing credentials for systems you are not authorized to access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Attempting to circumvent, reverse-engineer, or interfere with the Service’s security controls</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Introducing malware, viruses, or other malicious code into the Service</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Conducting unauthorized penetration testing or security assessments against Huntoso infrastructure without written authorization</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Reselling or sublicensing access to the Service without Huntoso’s written consent</w:t>
      </w:r>
    </w:p>
    <w:p>
      <w:pPr>
        <w:pStyle w:val="ListParagraph"/>
        <w:numPr>
          <w:ilvl w:val="0"/>
          <w:numId w:val="2"/>
        </w:numPr>
        <w:spacing w:after="30" w:before="30"/>
        <w:jc w:val="left"/>
      </w:pPr>
      <w:r>
        <w:rPr>
          <w:rFonts w:ascii="Arial" w:cs="Arial" w:eastAsia="Arial" w:hAnsi="Arial"/>
          <w:b w:val="false"/>
          <w:bCs w:val="false"/>
          <w:i w:val="false"/>
          <w:iCs w:val="false"/>
          <w:color w:val="111111"/>
          <w:sz w:val="19"/>
          <w:szCs w:val="19"/>
        </w:rPr>
        <w:t xml:space="preserve">Generating excessive API traffic that materially degrades service performance for other customers</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9.  Intellectual Property</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All rights, title, and interest in and to the PAM-Pro platform, including its source code, design, trademarks, documentation, and all related intellectual property, are and will remain the exclusive property of Huntoso LLC. These Terms do not grant you any rights in Huntoso’s intellectual property other than a limited, non-exclusive, non-transferable right to use the Service during your subscription period. Your data, vault contents (in encrypted form), and audit logs remain your property.</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10.  Disclaimer of Warranties and Limitation of Liability</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10.1  Disclaimer</w:t>
      </w:r>
    </w:p>
    <w:p>
      <w:pPr>
        <w:spacing w:after="80" w:before="40"/>
        <w:jc w:val="left"/>
      </w:pPr>
      <w:r>
        <w:rPr>
          <w:rFonts w:ascii="Arial" w:cs="Arial" w:eastAsia="Arial" w:hAnsi="Arial"/>
          <w:b w:val="false"/>
          <w:bCs w:val="false"/>
          <w:i w:val="false"/>
          <w:iCs w:val="false"/>
          <w:color w:val="374151"/>
          <w:sz w:val="19"/>
          <w:szCs w:val="19"/>
        </w:rPr>
        <w:t xml:space="preserve">THE SERVICE IS PROVIDED “AS IS” AND “AS AVAILABLE” WITHOUT WARRANTIES OF ANY KIND, EITHER EXPRESS OR IMPLIED. HUNTOSO DISCLAIMS ALL WARRANTIES INCLUDING BUT NOT LIMITED TO IMPLIED WARRANTIES OF MERCHANTABILITY, FITNESS FOR A PARTICULAR PURPOSE, AND NON-INFRINGEMENT. HUNTOSO DOES NOT WARRANT THAT THE SERVICE WILL BE UNINTERRUPTED, ERROR-FREE, OR THAT DATA WILL NOT BE LOST.</w:t>
      </w:r>
    </w:p>
    <w:p>
      <w:pPr>
        <w:spacing w:after="80" w:before="180"/>
        <w:jc w:val="left"/>
      </w:pPr>
      <w:r>
        <w:rPr>
          <w:rFonts w:ascii="Arial" w:cs="Arial" w:eastAsia="Arial" w:hAnsi="Arial"/>
          <w:b/>
          <w:bCs/>
          <w:i w:val="false"/>
          <w:iCs w:val="false"/>
          <w:color w:val="111111"/>
          <w:sz w:val="22"/>
          <w:szCs w:val="22"/>
        </w:rPr>
        <w:t xml:space="preserve">10.2  Limitation of Liability</w:t>
      </w:r>
    </w:p>
    <w:p>
      <w:pPr>
        <w:spacing w:after="80" w:before="40"/>
        <w:jc w:val="left"/>
      </w:pPr>
      <w:r>
        <w:rPr>
          <w:rFonts w:ascii="Arial" w:cs="Arial" w:eastAsia="Arial" w:hAnsi="Arial"/>
          <w:b w:val="false"/>
          <w:bCs w:val="false"/>
          <w:i w:val="false"/>
          <w:iCs w:val="false"/>
          <w:color w:val="374151"/>
          <w:sz w:val="19"/>
          <w:szCs w:val="19"/>
        </w:rPr>
        <w:t xml:space="preserve">TO THE MAXIMUM EXTENT PERMITTED BY APPLICABLE LAW, HUNTOSO’S TOTAL CUMULATIVE LIABILITY TO YOU FOR ANY CLAIM ARISING OUT OF OR RELATED TO THESE TERMS OR THE SERVICE SHALL NOT EXCEED THE GREATER OF: (A) THE AMOUNT YOU PAID TO HUNTOSO IN THE TWELVE (12) MONTHS IMMEDIATELY PRECEDING THE CLAIM, OR (B) ONE HUNDRED U.S. DOLLARS ($100).</w:t>
      </w:r>
    </w:p>
    <w:p>
      <w:pPr>
        <w:spacing w:after="80" w:before="180"/>
        <w:jc w:val="left"/>
      </w:pPr>
      <w:r>
        <w:rPr>
          <w:rFonts w:ascii="Arial" w:cs="Arial" w:eastAsia="Arial" w:hAnsi="Arial"/>
          <w:b/>
          <w:bCs/>
          <w:i w:val="false"/>
          <w:iCs w:val="false"/>
          <w:color w:val="111111"/>
          <w:sz w:val="22"/>
          <w:szCs w:val="22"/>
        </w:rPr>
        <w:t xml:space="preserve">10.3  Exclusion of Consequential Damages</w:t>
      </w:r>
    </w:p>
    <w:p>
      <w:pPr>
        <w:spacing w:after="80" w:before="40"/>
        <w:jc w:val="left"/>
      </w:pPr>
      <w:r>
        <w:rPr>
          <w:rFonts w:ascii="Arial" w:cs="Arial" w:eastAsia="Arial" w:hAnsi="Arial"/>
          <w:b w:val="false"/>
          <w:bCs w:val="false"/>
          <w:i w:val="false"/>
          <w:iCs w:val="false"/>
          <w:color w:val="374151"/>
          <w:sz w:val="19"/>
          <w:szCs w:val="19"/>
        </w:rPr>
        <w:t xml:space="preserve">IN NO EVENT WILL HUNTOSO BE LIABLE FOR ANY INDIRECT, INCIDENTAL, SPECIAL, EXEMPLARY, PUNITIVE, OR CONSEQUENTIAL DAMAGES, INCLUDING LOSS OF PROFITS, LOSS OF DATA, BUSINESS INTERRUPTION, REGULATORY PENALTIES, OR COST OF COVER, EVEN IF HUNTOSO HAS BEEN ADVISED OF THE POSSIBILITY OF SUCH DAMAGES. THIS EXCLUSION APPLIES TO ALL CLAIMS, WHETHER IN CONTRACT, TORT, STRICT LIABILITY, OR ANY OTHER THEORY.</w:t>
      </w:r>
    </w:p>
    <w:p>
      <w:pPr>
        <w:spacing w:after="80" w:before="180"/>
        <w:jc w:val="left"/>
      </w:pPr>
      <w:r>
        <w:rPr>
          <w:rFonts w:ascii="Arial" w:cs="Arial" w:eastAsia="Arial" w:hAnsi="Arial"/>
          <w:b/>
          <w:bCs/>
          <w:i w:val="false"/>
          <w:iCs w:val="false"/>
          <w:color w:val="111111"/>
          <w:sz w:val="22"/>
          <w:szCs w:val="22"/>
        </w:rPr>
        <w:t xml:space="preserve">10.4  Essential Basis</w:t>
      </w:r>
    </w:p>
    <w:p>
      <w:pPr>
        <w:spacing w:after="80" w:before="40"/>
        <w:jc w:val="left"/>
      </w:pPr>
      <w:r>
        <w:rPr>
          <w:rFonts w:ascii="Arial" w:cs="Arial" w:eastAsia="Arial" w:hAnsi="Arial"/>
          <w:b w:val="false"/>
          <w:bCs w:val="false"/>
          <w:i w:val="false"/>
          <w:iCs w:val="false"/>
          <w:color w:val="374151"/>
          <w:sz w:val="19"/>
          <w:szCs w:val="19"/>
        </w:rPr>
        <w:t xml:space="preserve">The limitations of liability in this Section reflect a reasonable allocation of risk between the parties and are an essential element of the basis of the bargain between Huntoso and you. Huntoso would not provide the Service at current pricing without these limitations.</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11.  Indemnification</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40"/>
        <w:jc w:val="left"/>
      </w:pPr>
      <w:r>
        <w:rPr>
          <w:rFonts w:ascii="Arial" w:cs="Arial" w:eastAsia="Arial" w:hAnsi="Arial"/>
          <w:b w:val="false"/>
          <w:bCs w:val="false"/>
          <w:i w:val="false"/>
          <w:iCs w:val="false"/>
          <w:color w:val="374151"/>
          <w:sz w:val="19"/>
          <w:szCs w:val="19"/>
        </w:rPr>
        <w:t xml:space="preserve">You agree to indemnify, defend, and hold harmless Huntoso, its officers, directors, employees, and agents from and against any claims, liabilities, damages, judgments, awards, losses, costs, expenses, or fees (including reasonable attorneys’ fees) arising out of or relating to: (a) your violation of these Terms; (b) your use of the Service; (c) your violation of any third party’s rights; (d) any loss of vault data resulting from your failure to maintain a secure backup of your Client Secret Hash; or (e) your breach of applicable law.</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12.  Termination</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12.1  Termination by Customer</w:t>
      </w:r>
    </w:p>
    <w:p>
      <w:pPr>
        <w:spacing w:after="80" w:before="40"/>
        <w:jc w:val="left"/>
      </w:pPr>
      <w:r>
        <w:rPr>
          <w:rFonts w:ascii="Arial" w:cs="Arial" w:eastAsia="Arial" w:hAnsi="Arial"/>
          <w:b w:val="false"/>
          <w:bCs w:val="false"/>
          <w:i w:val="false"/>
          <w:iCs w:val="false"/>
          <w:color w:val="374151"/>
          <w:sz w:val="19"/>
          <w:szCs w:val="19"/>
        </w:rPr>
        <w:t xml:space="preserve">You may cancel your subscription at any time through the Stripe Customer Portal. Cancellation takes effect at the end of the current billing period.</w:t>
      </w:r>
    </w:p>
    <w:p>
      <w:pPr>
        <w:spacing w:after="80" w:before="180"/>
        <w:jc w:val="left"/>
      </w:pPr>
      <w:r>
        <w:rPr>
          <w:rFonts w:ascii="Arial" w:cs="Arial" w:eastAsia="Arial" w:hAnsi="Arial"/>
          <w:b/>
          <w:bCs/>
          <w:i w:val="false"/>
          <w:iCs w:val="false"/>
          <w:color w:val="111111"/>
          <w:sz w:val="22"/>
          <w:szCs w:val="22"/>
        </w:rPr>
        <w:t xml:space="preserve">12.2  Termination by Huntoso</w:t>
      </w:r>
    </w:p>
    <w:p>
      <w:pPr>
        <w:spacing w:after="80" w:before="40"/>
        <w:jc w:val="left"/>
      </w:pPr>
      <w:r>
        <w:rPr>
          <w:rFonts w:ascii="Arial" w:cs="Arial" w:eastAsia="Arial" w:hAnsi="Arial"/>
          <w:b w:val="false"/>
          <w:bCs w:val="false"/>
          <w:i w:val="false"/>
          <w:iCs w:val="false"/>
          <w:color w:val="374151"/>
          <w:sz w:val="19"/>
          <w:szCs w:val="19"/>
        </w:rPr>
        <w:t xml:space="preserve">Huntoso may suspend or terminate your access immediately if: (a) you breach these Terms and fail to cure the breach within 7 days of notice; (b) you engage in fraudulent or illegal activity; (c) continued service creates legal or security risk for Huntoso or other customers; or (d) you fail to pay fees when due.</w:t>
      </w:r>
    </w:p>
    <w:p>
      <w:pPr>
        <w:spacing w:after="80" w:before="180"/>
        <w:jc w:val="left"/>
      </w:pPr>
      <w:r>
        <w:rPr>
          <w:rFonts w:ascii="Arial" w:cs="Arial" w:eastAsia="Arial" w:hAnsi="Arial"/>
          <w:b/>
          <w:bCs/>
          <w:i w:val="false"/>
          <w:iCs w:val="false"/>
          <w:color w:val="111111"/>
          <w:sz w:val="22"/>
          <w:szCs w:val="22"/>
        </w:rPr>
        <w:t xml:space="preserve">12.3  Effect of Termination</w:t>
      </w:r>
    </w:p>
    <w:p>
      <w:pPr>
        <w:spacing w:after="80" w:before="40"/>
        <w:jc w:val="left"/>
      </w:pPr>
      <w:r>
        <w:rPr>
          <w:rFonts w:ascii="Arial" w:cs="Arial" w:eastAsia="Arial" w:hAnsi="Arial"/>
          <w:b w:val="false"/>
          <w:bCs w:val="false"/>
          <w:i w:val="false"/>
          <w:iCs w:val="false"/>
          <w:color w:val="374151"/>
          <w:sz w:val="19"/>
          <w:szCs w:val="19"/>
        </w:rPr>
        <w:t xml:space="preserve">Upon termination: (a) your right to access the Service ceases immediately; (b) Huntoso will retain your encrypted vault data for 30 days, after which it will be permanently deleted; (c) audit logs subject to active WORM retention policies will be preserved for the duration of those policies; (d) Huntoso will provide a data export of your account metadata (not vault contents, which are encrypted) upon written request within the 30-day window.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DC2626"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FFF1F2"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IMPORTANT: If you have not maintained a secure backup of your Client Secret Hash, vault contents cannot be recovered after termination. Export your Client Secret Hash before cancelling your subscription.</w:t>
            </w:r>
          </w:p>
        </w:tc>
      </w:tr>
    </w:tbl>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13.  Governing Law and Dispute Resolution</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13.1  Governing Law</w:t>
      </w:r>
    </w:p>
    <w:p>
      <w:pPr>
        <w:spacing w:after="80" w:before="40"/>
        <w:jc w:val="left"/>
      </w:pPr>
      <w:r>
        <w:rPr>
          <w:rFonts w:ascii="Arial" w:cs="Arial" w:eastAsia="Arial" w:hAnsi="Arial"/>
          <w:b w:val="false"/>
          <w:bCs w:val="false"/>
          <w:i w:val="false"/>
          <w:iCs w:val="false"/>
          <w:color w:val="374151"/>
          <w:sz w:val="19"/>
          <w:szCs w:val="19"/>
        </w:rPr>
        <w:t xml:space="preserve">These Terms and any dispute arising hereunder shall be governed by and construed in accordance with the laws of the State of [STATE], United States, without regard to its conflict of law principles.</w:t>
      </w:r>
    </w:p>
    <w:p>
      <w:pPr>
        <w:spacing w:after="80" w:before="180"/>
        <w:jc w:val="left"/>
      </w:pPr>
      <w:r>
        <w:rPr>
          <w:rFonts w:ascii="Arial" w:cs="Arial" w:eastAsia="Arial" w:hAnsi="Arial"/>
          <w:b/>
          <w:bCs/>
          <w:i w:val="false"/>
          <w:iCs w:val="false"/>
          <w:color w:val="111111"/>
          <w:sz w:val="22"/>
          <w:szCs w:val="22"/>
        </w:rPr>
        <w:t xml:space="preserve">13.2  Informal Resolution</w:t>
      </w:r>
    </w:p>
    <w:p>
      <w:pPr>
        <w:spacing w:after="80" w:before="40"/>
        <w:jc w:val="left"/>
      </w:pPr>
      <w:r>
        <w:rPr>
          <w:rFonts w:ascii="Arial" w:cs="Arial" w:eastAsia="Arial" w:hAnsi="Arial"/>
          <w:b w:val="false"/>
          <w:bCs w:val="false"/>
          <w:i w:val="false"/>
          <w:iCs w:val="false"/>
          <w:color w:val="374151"/>
          <w:sz w:val="19"/>
          <w:szCs w:val="19"/>
        </w:rPr>
        <w:t xml:space="preserve">Before filing any formal claim, the parties agree to attempt informal resolution by contacting legal@huntoso.ai. The parties will negotiate in good faith for at least 30 days before initiating formal proceedings.</w:t>
      </w:r>
    </w:p>
    <w:p>
      <w:pPr>
        <w:spacing w:after="80" w:before="180"/>
        <w:jc w:val="left"/>
      </w:pPr>
      <w:r>
        <w:rPr>
          <w:rFonts w:ascii="Arial" w:cs="Arial" w:eastAsia="Arial" w:hAnsi="Arial"/>
          <w:b/>
          <w:bCs/>
          <w:i w:val="false"/>
          <w:iCs w:val="false"/>
          <w:color w:val="111111"/>
          <w:sz w:val="22"/>
          <w:szCs w:val="22"/>
        </w:rPr>
        <w:t xml:space="preserve">13.3  Binding Arbitration</w:t>
      </w:r>
    </w:p>
    <w:p>
      <w:pPr>
        <w:spacing w:after="80" w:before="40"/>
        <w:jc w:val="left"/>
      </w:pPr>
      <w:r>
        <w:rPr>
          <w:rFonts w:ascii="Arial" w:cs="Arial" w:eastAsia="Arial" w:hAnsi="Arial"/>
          <w:b w:val="false"/>
          <w:bCs w:val="false"/>
          <w:i w:val="false"/>
          <w:iCs w:val="false"/>
          <w:color w:val="374151"/>
          <w:sz w:val="19"/>
          <w:szCs w:val="19"/>
        </w:rPr>
        <w:t xml:space="preserve">Any dispute not resolved informally shall be settled by binding arbitration administered by the American Arbitration Association (AAA) under its Commercial Arbitration Rules. The arbitration will be conducted in [CITY, STATE] or via video conference. The arbitrator’s award shall be final and binding and may be entered as a judgment in any court of competent jurisdiction. YOU AND HUNTOSO EACH WAIVE THE RIGHT TO A JURY TRIAL AND TO PARTICIPATE IN CLASS ACTION LITIGATION.</w:t>
      </w:r>
    </w:p>
    <w:p>
      <w:pPr>
        <w:spacing w:after="80" w:before="180"/>
        <w:jc w:val="left"/>
      </w:pPr>
      <w:r>
        <w:rPr>
          <w:rFonts w:ascii="Arial" w:cs="Arial" w:eastAsia="Arial" w:hAnsi="Arial"/>
          <w:b/>
          <w:bCs/>
          <w:i w:val="false"/>
          <w:iCs w:val="false"/>
          <w:color w:val="111111"/>
          <w:sz w:val="22"/>
          <w:szCs w:val="22"/>
        </w:rPr>
        <w:t xml:space="preserve">13.4  Exceptions</w:t>
      </w:r>
    </w:p>
    <w:p>
      <w:pPr>
        <w:spacing w:after="80" w:before="40"/>
        <w:jc w:val="left"/>
      </w:pPr>
      <w:r>
        <w:rPr>
          <w:rFonts w:ascii="Arial" w:cs="Arial" w:eastAsia="Arial" w:hAnsi="Arial"/>
          <w:b w:val="false"/>
          <w:bCs w:val="false"/>
          <w:i w:val="false"/>
          <w:iCs w:val="false"/>
          <w:color w:val="374151"/>
          <w:sz w:val="19"/>
          <w:szCs w:val="19"/>
        </w:rPr>
        <w:t xml:space="preserve">Either party may seek injunctive or other equitable relief from a court of competent jurisdiction to prevent imminent harm, protect intellectual property, or enforce payment obligations, without first pursuing arbitration.</w:t>
      </w:r>
    </w:p>
    <w:p>
      <w:pPr>
        <w:spacing w:after="12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E5E7EB" w:sz="1"/>
              <w:left w:val="none" w:color="E5E7EB" w:sz="1"/>
              <w:bottom w:val="none" w:color="E5E7EB" w:sz="1"/>
              <w:right w:val="none" w:color="E5E7EB" w:sz="1"/>
            </w:tcBorders>
            <w:shd w:fill="374151" w:val="clear"/>
            <w:tcMar>
              <w:top w:type="dxa" w:w="100"/>
              <w:left w:type="dxa" w:w="160"/>
              <w:bottom w:type="dxa" w:w="100"/>
              <w:right w:type="dxa" w:w="160"/>
            </w:tcMar>
          </w:tcPr>
          <w:p>
            <w:pPr>
              <w:spacing w:after="0" w:before="0"/>
              <w:jc w:val="left"/>
            </w:pPr>
            <w:r>
              <w:rPr>
                <w:rFonts w:ascii="Arial" w:cs="Arial" w:eastAsia="Arial" w:hAnsi="Arial"/>
                <w:b/>
                <w:bCs/>
                <w:i w:val="false"/>
                <w:iCs w:val="false"/>
                <w:color w:val="FFFFFF"/>
                <w:sz w:val="20"/>
                <w:szCs w:val="20"/>
              </w:rPr>
              <w:t xml:space="preserve">14.  General Provisions</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180"/>
        <w:jc w:val="left"/>
      </w:pPr>
      <w:r>
        <w:rPr>
          <w:rFonts w:ascii="Arial" w:cs="Arial" w:eastAsia="Arial" w:hAnsi="Arial"/>
          <w:b/>
          <w:bCs/>
          <w:i w:val="false"/>
          <w:iCs w:val="false"/>
          <w:color w:val="111111"/>
          <w:sz w:val="22"/>
          <w:szCs w:val="22"/>
        </w:rPr>
        <w:t xml:space="preserve">14.1  Entire Agreement</w:t>
      </w:r>
    </w:p>
    <w:p>
      <w:pPr>
        <w:spacing w:after="80" w:before="40"/>
        <w:jc w:val="left"/>
      </w:pPr>
      <w:r>
        <w:rPr>
          <w:rFonts w:ascii="Arial" w:cs="Arial" w:eastAsia="Arial" w:hAnsi="Arial"/>
          <w:b w:val="false"/>
          <w:bCs w:val="false"/>
          <w:i w:val="false"/>
          <w:iCs w:val="false"/>
          <w:color w:val="374151"/>
          <w:sz w:val="19"/>
          <w:szCs w:val="19"/>
        </w:rPr>
        <w:t xml:space="preserve">These Terms, together with the Privacy Policy, any Order Form, and any mutually executed amendments, constitute the entire agreement between you and Huntoso regarding the Service and supersede all prior agreements, understandings, and representations.</w:t>
      </w:r>
    </w:p>
    <w:p>
      <w:pPr>
        <w:spacing w:after="80" w:before="180"/>
        <w:jc w:val="left"/>
      </w:pPr>
      <w:r>
        <w:rPr>
          <w:rFonts w:ascii="Arial" w:cs="Arial" w:eastAsia="Arial" w:hAnsi="Arial"/>
          <w:b/>
          <w:bCs/>
          <w:i w:val="false"/>
          <w:iCs w:val="false"/>
          <w:color w:val="111111"/>
          <w:sz w:val="22"/>
          <w:szCs w:val="22"/>
        </w:rPr>
        <w:t xml:space="preserve">14.2  Severability</w:t>
      </w:r>
    </w:p>
    <w:p>
      <w:pPr>
        <w:spacing w:after="80" w:before="40"/>
        <w:jc w:val="left"/>
      </w:pPr>
      <w:r>
        <w:rPr>
          <w:rFonts w:ascii="Arial" w:cs="Arial" w:eastAsia="Arial" w:hAnsi="Arial"/>
          <w:b w:val="false"/>
          <w:bCs w:val="false"/>
          <w:i w:val="false"/>
          <w:iCs w:val="false"/>
          <w:color w:val="374151"/>
          <w:sz w:val="19"/>
          <w:szCs w:val="19"/>
        </w:rPr>
        <w:t xml:space="preserve">If any provision of these Terms is held to be invalid or unenforceable, the remaining provisions will continue in full force and effect, and the invalid provision will be modified to the minimum extent necessary to make it enforceable.</w:t>
      </w:r>
    </w:p>
    <w:p>
      <w:pPr>
        <w:spacing w:after="80" w:before="180"/>
        <w:jc w:val="left"/>
      </w:pPr>
      <w:r>
        <w:rPr>
          <w:rFonts w:ascii="Arial" w:cs="Arial" w:eastAsia="Arial" w:hAnsi="Arial"/>
          <w:b/>
          <w:bCs/>
          <w:i w:val="false"/>
          <w:iCs w:val="false"/>
          <w:color w:val="111111"/>
          <w:sz w:val="22"/>
          <w:szCs w:val="22"/>
        </w:rPr>
        <w:t xml:space="preserve">14.3  Waiver</w:t>
      </w:r>
    </w:p>
    <w:p>
      <w:pPr>
        <w:spacing w:after="80" w:before="40"/>
        <w:jc w:val="left"/>
      </w:pPr>
      <w:r>
        <w:rPr>
          <w:rFonts w:ascii="Arial" w:cs="Arial" w:eastAsia="Arial" w:hAnsi="Arial"/>
          <w:b w:val="false"/>
          <w:bCs w:val="false"/>
          <w:i w:val="false"/>
          <w:iCs w:val="false"/>
          <w:color w:val="374151"/>
          <w:sz w:val="19"/>
          <w:szCs w:val="19"/>
        </w:rPr>
        <w:t xml:space="preserve">Huntoso’s failure to enforce any right or provision of these Terms does not constitute a waiver of that right or provision.</w:t>
      </w:r>
    </w:p>
    <w:p>
      <w:pPr>
        <w:spacing w:after="80" w:before="180"/>
        <w:jc w:val="left"/>
      </w:pPr>
      <w:r>
        <w:rPr>
          <w:rFonts w:ascii="Arial" w:cs="Arial" w:eastAsia="Arial" w:hAnsi="Arial"/>
          <w:b/>
          <w:bCs/>
          <w:i w:val="false"/>
          <w:iCs w:val="false"/>
          <w:color w:val="111111"/>
          <w:sz w:val="22"/>
          <w:szCs w:val="22"/>
        </w:rPr>
        <w:t xml:space="preserve">14.4  Assignment</w:t>
      </w:r>
    </w:p>
    <w:p>
      <w:pPr>
        <w:spacing w:after="80" w:before="40"/>
        <w:jc w:val="left"/>
      </w:pPr>
      <w:r>
        <w:rPr>
          <w:rFonts w:ascii="Arial" w:cs="Arial" w:eastAsia="Arial" w:hAnsi="Arial"/>
          <w:b w:val="false"/>
          <w:bCs w:val="false"/>
          <w:i w:val="false"/>
          <w:iCs w:val="false"/>
          <w:color w:val="374151"/>
          <w:sz w:val="19"/>
          <w:szCs w:val="19"/>
        </w:rPr>
        <w:t xml:space="preserve">You may not assign your rights or obligations under these Terms without Huntoso’s prior written consent. Huntoso may assign these Terms in connection with a merger, acquisition, or sale of all or substantially all of its assets.</w:t>
      </w:r>
    </w:p>
    <w:p>
      <w:pPr>
        <w:spacing w:after="80" w:before="180"/>
        <w:jc w:val="left"/>
      </w:pPr>
      <w:r>
        <w:rPr>
          <w:rFonts w:ascii="Arial" w:cs="Arial" w:eastAsia="Arial" w:hAnsi="Arial"/>
          <w:b/>
          <w:bCs/>
          <w:i w:val="false"/>
          <w:iCs w:val="false"/>
          <w:color w:val="111111"/>
          <w:sz w:val="22"/>
          <w:szCs w:val="22"/>
        </w:rPr>
        <w:t xml:space="preserve">14.5  Notices</w:t>
      </w:r>
    </w:p>
    <w:p>
      <w:pPr>
        <w:spacing w:after="80" w:before="40"/>
        <w:jc w:val="left"/>
      </w:pPr>
      <w:r>
        <w:rPr>
          <w:rFonts w:ascii="Arial" w:cs="Arial" w:eastAsia="Arial" w:hAnsi="Arial"/>
          <w:b w:val="false"/>
          <w:bCs w:val="false"/>
          <w:i w:val="false"/>
          <w:iCs w:val="false"/>
          <w:color w:val="374151"/>
          <w:sz w:val="19"/>
          <w:szCs w:val="19"/>
        </w:rPr>
        <w:t xml:space="preserve">Legal notices to Huntoso must be sent to legal@huntoso.ai. Notices to you will be sent to the email address associated with your account.</w:t>
      </w:r>
    </w:p>
    <w:p>
      <w:pPr>
        <w:spacing w:after="80" w:before="180"/>
        <w:jc w:val="left"/>
      </w:pPr>
      <w:r>
        <w:rPr>
          <w:rFonts w:ascii="Arial" w:cs="Arial" w:eastAsia="Arial" w:hAnsi="Arial"/>
          <w:b/>
          <w:bCs/>
          <w:i w:val="false"/>
          <w:iCs w:val="false"/>
          <w:color w:val="111111"/>
          <w:sz w:val="22"/>
          <w:szCs w:val="22"/>
        </w:rPr>
        <w:t xml:space="preserve">14.6  Updates to Terms</w:t>
      </w:r>
    </w:p>
    <w:p>
      <w:pPr>
        <w:spacing w:after="80" w:before="40"/>
        <w:jc w:val="left"/>
      </w:pPr>
      <w:r>
        <w:rPr>
          <w:rFonts w:ascii="Arial" w:cs="Arial" w:eastAsia="Arial" w:hAnsi="Arial"/>
          <w:b w:val="false"/>
          <w:bCs w:val="false"/>
          <w:i w:val="false"/>
          <w:iCs w:val="false"/>
          <w:color w:val="374151"/>
          <w:sz w:val="19"/>
          <w:szCs w:val="19"/>
        </w:rPr>
        <w:t xml:space="preserve">Huntoso reserves the right to modify these Terms at any time. Material changes will be communicated via email at least 30 days before the effective date. Continued use of the Service after the effective date constitutes acceptance. If you do not agree to the updated Terms, you must cancel your subscription before the effective date.</w:t>
      </w:r>
    </w:p>
    <w:p>
      <w:pPr>
        <w:spacing w:after="80" w:before="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E5E7EB" w:sz="1"/>
              <w:left w:val="none" w:color="E5E7EB" w:sz="1"/>
              <w:bottom w:val="none" w:color="E5E7EB" w:sz="1"/>
              <w:right w:val="none" w:color="E5E7EB" w:sz="1"/>
            </w:tcBorders>
            <w:shd w:fill="92400E" w:val="clear"/>
            <w:tcMar>
              <w:top w:type="dxa" w:w="60"/>
              <w:left w:type="dxa" w:w="60"/>
              <w:bottom w:type="dxa" w:w="60"/>
              <w:right w:type="dxa" w:w="60"/>
            </w:tcMar>
          </w:tcPr>
          <w:p>
            <w:pPr>
              <w:spacing w:after="0" w:before="0"/>
              <w:jc w:val="left"/>
            </w:pPr>
            <w:r>
              <w:rPr>
                <w:rFonts w:ascii="Arial" w:cs="Arial" w:eastAsia="Arial" w:hAnsi="Arial"/>
                <w:b w:val="false"/>
                <w:bCs w:val="false"/>
                <w:i w:val="false"/>
                <w:iCs w:val="false"/>
                <w:color w:val="111111"/>
                <w:sz w:val="20"/>
                <w:szCs w:val="20"/>
              </w:rPr>
              <w:t xml:space="preserve"/>
            </w:r>
          </w:p>
        </w:tc>
        <w:tc>
          <w:tcPr>
            <w:tcW w:type="dxa" w:w="9120"/>
            <w:tcBorders>
              <w:top w:val="single" w:color="E5E7EB" w:sz="1"/>
              <w:left w:val="none" w:color="E5E7EB" w:sz="1"/>
              <w:bottom w:val="single" w:color="E5E7EB" w:sz="1"/>
              <w:right w:val="single" w:color="E5E7EB" w:sz="1"/>
            </w:tcBorders>
            <w:shd w:fill="FFFBEB" w:val="clear"/>
            <w:tcMar>
              <w:top w:type="dxa" w:w="120"/>
              <w:left w:type="dxa" w:w="160"/>
              <w:bottom w:type="dxa" w:w="120"/>
              <w:right w:type="dxa" w:w="160"/>
            </w:tcMar>
          </w:tcPr>
          <w:p>
            <w:pPr>
              <w:spacing w:after="0" w:before="0"/>
              <w:jc w:val="left"/>
            </w:pPr>
            <w:r>
              <w:rPr>
                <w:rFonts w:ascii="Arial" w:cs="Arial" w:eastAsia="Arial" w:hAnsi="Arial"/>
                <w:b w:val="false"/>
                <w:bCs w:val="false"/>
                <w:i w:val="false"/>
                <w:iCs w:val="false"/>
                <w:color w:val="111111"/>
                <w:sz w:val="18"/>
                <w:szCs w:val="18"/>
              </w:rPr>
              <w:t xml:space="preserve">LEGAL DISCLAIMER: This Terms of Service document is a draft prepared as a starting point based on the described Huntoso architecture and business model. It must be reviewed and approved by a licensed attorney admitted in the applicable jurisdiction before publication or enforcement. Nothing in this document constitutes legal advice.</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space="1"/>
      </w:pBdr>
      <w:spacing w:after="0" w:before="80"/>
      <w:jc w:val="left"/>
    </w:pPr>
    <w:r>
      <w:rPr>
        <w:rFonts w:ascii="Arial" w:cs="Arial" w:eastAsia="Arial" w:hAnsi="Arial"/>
        <w:b w:val="false"/>
        <w:bCs w:val="false"/>
        <w:i w:val="false"/>
        <w:iCs w:val="false"/>
        <w:color w:val="9CA3AF"/>
        <w:sz w:val="16"/>
        <w:szCs w:val="16"/>
      </w:rPr>
      <w:t xml:space="preserve">Huntoso Terms of Service  —  © 2026 Huntoso LLC  —  huntoso.ai</w:t>
    </w:r>
    <w:r>
      <w:rPr>
        <w:rFonts w:ascii="Arial" w:cs="Arial" w:eastAsia="Arial" w:hAnsi="Arial"/>
        <w:b w:val="false"/>
        <w:bCs w:val="false"/>
        <w:i w:val="false"/>
        <w:iCs w:val="false"/>
        <w:color w:val="9CA3AF"/>
        <w:sz w:val="16"/>
        <w:szCs w:val="16"/>
      </w:rPr>
      <w:t xml:space="preserve">	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A34A" w:sz="4" w:space="1"/>
      </w:pBdr>
      <w:spacing w:after="80" w:before="0"/>
      <w:jc w:val="left"/>
    </w:pPr>
    <w:r>
      <w:rPr>
        <w:rFonts w:ascii="Arial" w:cs="Arial" w:eastAsia="Arial" w:hAnsi="Arial"/>
        <w:b/>
        <w:bCs/>
        <w:i w:val="false"/>
        <w:iCs w:val="false"/>
        <w:color w:val="16A34A"/>
        <w:sz w:val="18"/>
        <w:szCs w:val="18"/>
      </w:rPr>
      <w:t xml:space="preserve">HUNTOSO  </w:t>
    </w:r>
    <w:r>
      <w:rPr>
        <w:rFonts w:ascii="Arial" w:cs="Arial" w:eastAsia="Arial" w:hAnsi="Arial"/>
        <w:b w:val="false"/>
        <w:bCs w:val="false"/>
        <w:i w:val="false"/>
        <w:iCs w:val="false"/>
        <w:color w:val="374151"/>
        <w:sz w:val="18"/>
        <w:szCs w:val="18"/>
      </w:rPr>
      <w:t xml:space="preserve">Terms of Service</w:t>
    </w:r>
    <w:r>
      <w:rPr>
        <w:rFonts w:ascii="Arial" w:cs="Arial" w:eastAsia="Arial" w:hAnsi="Arial"/>
        <w:b w:val="false"/>
        <w:bCs w:val="false"/>
        <w:i w:val="false"/>
        <w:iCs w:val="false"/>
        <w:color w:val="9CA3AF"/>
        <w:sz w:val="16"/>
        <w:szCs w:val="16"/>
      </w:rPr>
      <w:t xml:space="preserve">	CONFIDENTIAL DRAFT — ATTORNEY REVIEW REQUIRED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abstractNum w:abstractNumId="3" w15:restartNumberingAfterBreak="0">
    <w:multiLevelType w:val="hybridMultilevel"/>
    <w:lvl w:ilvl="0" w15:tentative="1">
      <w:start w:val="1"/>
      <w:numFmt w:val="lowerLetter"/>
      <w:lvlText w:val="(%1)"/>
      <w:lvlJc w:val="left"/>
      <w:pPr>
        <w:ind w:left="600" w:hanging="340"/>
      </w:pPr>
    </w:lvl>
  </w:abstractNum>
  <w:abstractNum w:abstractNumId="4" w15:restartNumberingAfterBreak="0">
    <w:multiLevelType w:val="hybridMultilevel"/>
    <w:lvl w:ilvl="0" w15:tentative="1">
      <w:start w:val="1"/>
      <w:numFmt w:val="decimal"/>
      <w:lvlText w:val="%1."/>
      <w:lvlJc w:val="left"/>
      <w:pPr>
        <w:ind w:left="540" w:hanging="3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2026-04-03T19:53:10.116Z</dcterms:created>
  <dcterms:modified xsi:type="dcterms:W3CDTF">2026-04-03T19:53:10.116Z</dcterms:modified>
</cp:coreProperties>
</file>

<file path=docProps/custom.xml><?xml version="1.0" encoding="utf-8"?>
<Properties xmlns="http://schemas.openxmlformats.org/officeDocument/2006/custom-properties" xmlns:vt="http://schemas.openxmlformats.org/officeDocument/2006/docPropsVTypes"/>
</file>