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961F" w14:textId="77777777" w:rsidR="006B0B4D" w:rsidRDefault="00000000">
      <w:pPr>
        <w:spacing w:after="60"/>
        <w:jc w:val="center"/>
      </w:pPr>
      <w:r>
        <w:rPr>
          <w:b/>
          <w:bCs/>
          <w:caps/>
          <w:color w:val="1A237E"/>
          <w:sz w:val="28"/>
          <w:szCs w:val="28"/>
        </w:rPr>
        <w:t>HUNTOSO, LLC</w:t>
      </w:r>
    </w:p>
    <w:p w14:paraId="00709620" w14:textId="77777777" w:rsidR="006B0B4D" w:rsidRDefault="00000000">
      <w:pPr>
        <w:spacing w:after="60"/>
        <w:jc w:val="center"/>
      </w:pPr>
      <w:r>
        <w:rPr>
          <w:b/>
          <w:bCs/>
          <w:color w:val="212121"/>
          <w:sz w:val="26"/>
          <w:szCs w:val="26"/>
        </w:rPr>
        <w:t>SHARED RESPONSIBILITY AND IRRECOVERABLE DATA LOSS DISCLOSURE</w:t>
      </w:r>
    </w:p>
    <w:p w14:paraId="00709621" w14:textId="77777777" w:rsidR="006B0B4D" w:rsidRDefault="00000000">
      <w:pPr>
        <w:spacing w:after="40"/>
        <w:jc w:val="center"/>
      </w:pPr>
      <w:r>
        <w:rPr>
          <w:i/>
          <w:iCs/>
          <w:color w:val="546E7A"/>
        </w:rPr>
        <w:t>Terms of Service Exhibit — Enterprise Tier</w:t>
      </w:r>
    </w:p>
    <w:p w14:paraId="00709622" w14:textId="77777777" w:rsidR="006B0B4D" w:rsidRDefault="00000000">
      <w:pPr>
        <w:spacing w:after="40"/>
        <w:jc w:val="center"/>
      </w:pPr>
      <w:r>
        <w:rPr>
          <w:color w:val="546E7A"/>
          <w:sz w:val="20"/>
          <w:szCs w:val="20"/>
        </w:rPr>
        <w:t>Version 1.0  |  Effective Date: April 1, 2026</w:t>
      </w:r>
    </w:p>
    <w:p w14:paraId="00709623" w14:textId="77777777" w:rsidR="006B0B4D" w:rsidRDefault="00000000">
      <w:pPr>
        <w:spacing w:after="200"/>
        <w:jc w:val="center"/>
      </w:pPr>
      <w:r>
        <w:rPr>
          <w:i/>
          <w:iCs/>
          <w:color w:val="546E7A"/>
          <w:sz w:val="20"/>
          <w:szCs w:val="20"/>
        </w:rPr>
        <w:t>Incorporated by Reference into the Huntoso Master Subscription Agreement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B0B4D" w14:paraId="00709626" w14:textId="77777777">
        <w:tblPrEx>
          <w:tblCellMar>
            <w:top w:w="0" w:type="dxa"/>
            <w:bottom w:w="0" w:type="dxa"/>
          </w:tblCellMar>
        </w:tblPrEx>
        <w:tc>
          <w:tcPr>
            <w:tcW w:w="9360" w:type="dxa"/>
            <w:tcBorders>
              <w:top w:val="single" w:sz="6" w:space="0" w:color="E65100"/>
              <w:left w:val="single" w:sz="6" w:space="0" w:color="E65100"/>
              <w:bottom w:val="single" w:sz="6" w:space="0" w:color="E65100"/>
              <w:right w:val="single" w:sz="6" w:space="0" w:color="E65100"/>
            </w:tcBorders>
            <w:shd w:val="clear" w:color="auto" w:fill="FFF3E0"/>
            <w:tcMar>
              <w:top w:w="160" w:type="dxa"/>
              <w:left w:w="200" w:type="dxa"/>
              <w:bottom w:w="160" w:type="dxa"/>
              <w:right w:w="200" w:type="dxa"/>
            </w:tcMar>
          </w:tcPr>
          <w:p w14:paraId="00709624" w14:textId="77777777" w:rsidR="006B0B4D" w:rsidRDefault="00000000">
            <w:pPr>
              <w:spacing w:before="60" w:after="80"/>
            </w:pPr>
            <w:r>
              <w:rPr>
                <w:b/>
                <w:bCs/>
                <w:color w:val="E65100"/>
              </w:rPr>
              <w:t>NOTICE TO CUSTOMER:</w:t>
            </w:r>
          </w:p>
          <w:p w14:paraId="00709625" w14:textId="77777777" w:rsidR="006B0B4D" w:rsidRDefault="00000000">
            <w:pPr>
              <w:spacing w:after="60"/>
            </w:pPr>
            <w:r>
              <w:rPr>
                <w:color w:val="212121"/>
              </w:rPr>
              <w:t>This Disclosure constitutes a material term of Customer's agreement with Huntoso, LLC. Customer's execution of the Master Subscription Agreement and activation of a Huntoso vault constitutes Customer's unconditional acknowledgment and acceptance of the terms herein. THIS DISCLOSURE MUST BE PRESENTED TO AND ACKNOWLEDGED BY CUSTOMER PRIOR TO CHECKOUT AND PRIOR TO INITIAL VAULT CONFIGURATION.</w:t>
            </w:r>
          </w:p>
        </w:tc>
      </w:tr>
    </w:tbl>
    <w:p w14:paraId="00709627" w14:textId="77777777" w:rsidR="006B0B4D" w:rsidRDefault="006B0B4D">
      <w:pPr>
        <w:spacing w:after="200"/>
      </w:pPr>
    </w:p>
    <w:p w14:paraId="00709628" w14:textId="77777777" w:rsidR="006B0B4D" w:rsidRDefault="00000000">
      <w:pPr>
        <w:pStyle w:val="Heading1"/>
      </w:pPr>
      <w:r>
        <w:t>1. Definitions</w:t>
      </w:r>
    </w:p>
    <w:p w14:paraId="00709629" w14:textId="77777777" w:rsidR="006B0B4D" w:rsidRDefault="00000000">
      <w:pPr>
        <w:spacing w:before="60" w:after="120"/>
      </w:pPr>
      <w:r>
        <w:rPr>
          <w:color w:val="212121"/>
        </w:rPr>
        <w:t>As used in this Disclosure and the Master Subscription Agreement, the following capitalized terms have the meanings set forth below:</w:t>
      </w:r>
    </w:p>
    <w:p w14:paraId="0070962A" w14:textId="77777777" w:rsidR="006B0B4D" w:rsidRDefault="006B0B4D">
      <w:pPr>
        <w:spacing w:after="60"/>
      </w:pPr>
    </w:p>
    <w:p w14:paraId="0070962B" w14:textId="77777777" w:rsidR="006B0B4D" w:rsidRDefault="00000000">
      <w:pPr>
        <w:spacing w:before="80" w:after="100"/>
      </w:pPr>
      <w:r>
        <w:rPr>
          <w:b/>
          <w:bCs/>
          <w:color w:val="212121"/>
        </w:rPr>
        <w:t xml:space="preserve">"Agreement" </w:t>
      </w:r>
      <w:r>
        <w:rPr>
          <w:color w:val="212121"/>
        </w:rPr>
        <w:t>means the Master Subscription Agreement between Huntoso, LLC and Customer, of which this Disclosure forms an integral exhibit.</w:t>
      </w:r>
    </w:p>
    <w:p w14:paraId="0070962C" w14:textId="77777777" w:rsidR="006B0B4D" w:rsidRDefault="00000000">
      <w:pPr>
        <w:spacing w:before="80" w:after="100"/>
      </w:pPr>
      <w:r>
        <w:rPr>
          <w:b/>
          <w:bCs/>
          <w:color w:val="212121"/>
        </w:rPr>
        <w:t xml:space="preserve">"Configuration Hash" </w:t>
      </w:r>
      <w:r>
        <w:rPr>
          <w:color w:val="212121"/>
        </w:rPr>
        <w:t>means the cryptographic artifact, also referred to herein as the Vault Key, comprising the tenant-specific symmetric encryption key material and associated initialization parameters generated upon vault instantiation. The Configuration Hash is mathematically deterministic with respect to vault ciphertext and is irreplaceable upon loss or alteration.</w:t>
      </w:r>
    </w:p>
    <w:p w14:paraId="0070962D" w14:textId="77777777" w:rsidR="006B0B4D" w:rsidRDefault="00000000">
      <w:pPr>
        <w:spacing w:before="80" w:after="100"/>
      </w:pPr>
      <w:r>
        <w:rPr>
          <w:b/>
          <w:bCs/>
          <w:color w:val="212121"/>
        </w:rPr>
        <w:t xml:space="preserve">"Customer" </w:t>
      </w:r>
      <w:r>
        <w:rPr>
          <w:color w:val="212121"/>
        </w:rPr>
        <w:t>means the legal entity that has entered into the Agreement and activated a Huntoso vault instance.</w:t>
      </w:r>
    </w:p>
    <w:p w14:paraId="0070962E" w14:textId="77777777" w:rsidR="006B0B4D" w:rsidRDefault="00000000">
      <w:pPr>
        <w:spacing w:before="80" w:after="100"/>
      </w:pPr>
      <w:r>
        <w:rPr>
          <w:b/>
          <w:bCs/>
          <w:color w:val="212121"/>
        </w:rPr>
        <w:t xml:space="preserve">"Customer Data" </w:t>
      </w:r>
      <w:r>
        <w:rPr>
          <w:color w:val="212121"/>
        </w:rPr>
        <w:t>means all Credentials, secrets, API keys, certificates, notes, and other privileged data ingested into the Vault by Customer.</w:t>
      </w:r>
    </w:p>
    <w:p w14:paraId="0070962F" w14:textId="77777777" w:rsidR="006B0B4D" w:rsidRDefault="00000000">
      <w:pPr>
        <w:spacing w:before="80" w:after="100"/>
      </w:pPr>
      <w:r>
        <w:rPr>
          <w:b/>
          <w:bCs/>
          <w:color w:val="212121"/>
        </w:rPr>
        <w:t xml:space="preserve">"Credentials" </w:t>
      </w:r>
      <w:r>
        <w:rPr>
          <w:color w:val="212121"/>
        </w:rPr>
        <w:t>means any username, password, passphrase, authentication token, certificate private key, or similar privileged authentication artifact stored within the Vault.</w:t>
      </w:r>
    </w:p>
    <w:p w14:paraId="00709630" w14:textId="77777777" w:rsidR="006B0B4D" w:rsidRDefault="00000000">
      <w:pPr>
        <w:spacing w:before="80" w:after="100"/>
      </w:pPr>
      <w:r>
        <w:rPr>
          <w:b/>
          <w:bCs/>
          <w:color w:val="212121"/>
        </w:rPr>
        <w:t xml:space="preserve">"Irrecoverable Loss Event" </w:t>
      </w:r>
      <w:r>
        <w:rPr>
          <w:color w:val="212121"/>
        </w:rPr>
        <w:t>means any occurrence in which the Configuration Hash becomes inaccessible, corrupted, altered, or destroyed, whether through act or omission of Customer, its agents, employees, contractors, or third-party service providers, or through any cause not attributable to Huntoso.</w:t>
      </w:r>
    </w:p>
    <w:p w14:paraId="00709631" w14:textId="77777777" w:rsidR="006B0B4D" w:rsidRDefault="00000000">
      <w:pPr>
        <w:spacing w:before="80" w:after="100"/>
      </w:pPr>
      <w:r>
        <w:rPr>
          <w:b/>
          <w:bCs/>
          <w:color w:val="212121"/>
        </w:rPr>
        <w:t xml:space="preserve">"Vault" </w:t>
      </w:r>
      <w:r>
        <w:rPr>
          <w:color w:val="212121"/>
        </w:rPr>
        <w:t>means the encrypted, tenant-isolated privileged access management repository hosted on Microsoft Azure infrastructure operated by Huntoso.</w:t>
      </w:r>
    </w:p>
    <w:p w14:paraId="00709632" w14:textId="77777777" w:rsidR="006B0B4D" w:rsidRDefault="00000000">
      <w:pPr>
        <w:spacing w:before="80" w:after="100"/>
      </w:pPr>
      <w:r>
        <w:rPr>
          <w:b/>
          <w:bCs/>
          <w:color w:val="212121"/>
        </w:rPr>
        <w:t xml:space="preserve">"Vault Key" </w:t>
      </w:r>
      <w:r>
        <w:rPr>
          <w:color w:val="212121"/>
        </w:rPr>
        <w:t>means see Configuration Hash.</w:t>
      </w:r>
    </w:p>
    <w:p w14:paraId="00709633" w14:textId="77777777" w:rsidR="006B0B4D" w:rsidRDefault="00000000">
      <w:pPr>
        <w:spacing w:before="80" w:after="100"/>
      </w:pPr>
      <w:r>
        <w:rPr>
          <w:b/>
          <w:bCs/>
          <w:color w:val="212121"/>
        </w:rPr>
        <w:t xml:space="preserve">"Services" </w:t>
      </w:r>
      <w:r>
        <w:rPr>
          <w:color w:val="212121"/>
        </w:rPr>
        <w:t>means the cloud-based privileged access management software-as-a-service platform provided by Huntoso under the Agreement.</w:t>
      </w:r>
    </w:p>
    <w:p w14:paraId="00709634" w14:textId="77777777" w:rsidR="006B0B4D" w:rsidRDefault="006B0B4D">
      <w:pPr>
        <w:spacing w:after="60"/>
      </w:pPr>
    </w:p>
    <w:p w14:paraId="00709635" w14:textId="77777777" w:rsidR="006B0B4D" w:rsidRDefault="00000000">
      <w:pPr>
        <w:pStyle w:val="Heading1"/>
      </w:pPr>
      <w:r>
        <w:lastRenderedPageBreak/>
        <w:t>2. Technical Architecture and Cryptographic Design</w:t>
      </w:r>
    </w:p>
    <w:p w14:paraId="00709636" w14:textId="77777777" w:rsidR="006B0B4D" w:rsidRDefault="00000000">
      <w:pPr>
        <w:pStyle w:val="Heading2"/>
      </w:pPr>
      <w:r>
        <w:t>2.1 Encryption Architecture</w:t>
      </w:r>
    </w:p>
    <w:p w14:paraId="00709637" w14:textId="77777777" w:rsidR="006B0B4D" w:rsidRDefault="00000000">
      <w:pPr>
        <w:spacing w:before="60" w:after="120"/>
      </w:pPr>
      <w:r>
        <w:rPr>
          <w:color w:val="212121"/>
        </w:rPr>
        <w:t>Huntoso employs a multi-layer, zero-knowledge encryption architecture for Vault data. Customer Data is encrypted at rest using AES-256 symmetric encryption. The encryption key is derived from a combination of the Configuration Hash and key material stored within Microsoft Azure Key Vault. The decryption pathway is as follows:</w:t>
      </w:r>
    </w:p>
    <w:p w14:paraId="00709638" w14:textId="77777777" w:rsidR="006B0B4D" w:rsidRDefault="006B0B4D">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B0B4D" w14:paraId="0070963C" w14:textId="77777777">
        <w:tblPrEx>
          <w:tblCellMar>
            <w:top w:w="0" w:type="dxa"/>
            <w:bottom w:w="0" w:type="dxa"/>
          </w:tblCellMar>
        </w:tblPrEx>
        <w:tc>
          <w:tcPr>
            <w:tcW w:w="9360" w:type="dxa"/>
            <w:tcBorders>
              <w:top w:val="single" w:sz="6" w:space="0" w:color="3949AB"/>
              <w:left w:val="single" w:sz="6" w:space="0" w:color="3949AB"/>
              <w:bottom w:val="single" w:sz="6" w:space="0" w:color="3949AB"/>
              <w:right w:val="single" w:sz="6" w:space="0" w:color="3949AB"/>
            </w:tcBorders>
            <w:shd w:val="clear" w:color="auto" w:fill="E8EAF6"/>
            <w:tcMar>
              <w:top w:w="160" w:type="dxa"/>
              <w:left w:w="200" w:type="dxa"/>
              <w:bottom w:w="160" w:type="dxa"/>
              <w:right w:w="200" w:type="dxa"/>
            </w:tcMar>
          </w:tcPr>
          <w:p w14:paraId="00709639" w14:textId="77777777" w:rsidR="006B0B4D" w:rsidRDefault="00000000">
            <w:pPr>
              <w:spacing w:before="60" w:after="80"/>
            </w:pPr>
            <w:r>
              <w:rPr>
                <w:b/>
                <w:bCs/>
                <w:color w:val="0D47A1"/>
              </w:rPr>
              <w:t>Decryption Dependency Chain:</w:t>
            </w:r>
          </w:p>
          <w:p w14:paraId="0070963A" w14:textId="77777777" w:rsidR="006B0B4D" w:rsidRDefault="00000000">
            <w:pPr>
              <w:spacing w:after="60"/>
            </w:pPr>
            <w:r>
              <w:rPr>
                <w:i/>
                <w:iCs/>
                <w:color w:val="212121"/>
              </w:rPr>
              <w:t>Configuration Hash (Customer-held)  +  Azure Key Vault Key Material (Huntoso-operated)  →  Derived Encryption Key  →  Vault Plaintext</w:t>
            </w:r>
          </w:p>
          <w:p w14:paraId="0070963B" w14:textId="77777777" w:rsidR="006B0B4D" w:rsidRDefault="00000000">
            <w:pPr>
              <w:spacing w:before="20" w:after="60"/>
            </w:pPr>
            <w:r>
              <w:rPr>
                <w:color w:val="212121"/>
              </w:rPr>
              <w:t>The absence or alteration of either factor renders the Vault irrecoverably inaccessible. Huntoso does not retain, escrow, or have access to Customer's Configuration Hash.</w:t>
            </w:r>
          </w:p>
        </w:tc>
      </w:tr>
    </w:tbl>
    <w:p w14:paraId="0070963D" w14:textId="77777777" w:rsidR="006B0B4D" w:rsidRDefault="006B0B4D">
      <w:pPr>
        <w:spacing w:after="120"/>
      </w:pPr>
    </w:p>
    <w:p w14:paraId="0070963E" w14:textId="77777777" w:rsidR="006B0B4D" w:rsidRDefault="00000000">
      <w:pPr>
        <w:pStyle w:val="Heading2"/>
      </w:pPr>
      <w:r>
        <w:t>2.2 Zero-Knowledge Design Principle</w:t>
      </w:r>
    </w:p>
    <w:p w14:paraId="0070963F" w14:textId="77777777" w:rsidR="006B0B4D" w:rsidRDefault="00000000">
      <w:pPr>
        <w:spacing w:before="60" w:after="120"/>
      </w:pPr>
      <w:r>
        <w:rPr>
          <w:color w:val="212121"/>
        </w:rPr>
        <w:t>Huntoso operates under a zero-knowledge design principle with respect to Customer Data. Customer Data within the Vault is never accessible in plaintext by Huntoso personnel, systems, or processes, except as Customer Data passes through authenticated decryption flows initiated by an authorized Customer session. Huntoso does not maintain any backdoor, master override key, escrow copy, or administrative bypass mechanism that would permit Vault decryption absent the Configuration Hash.</w:t>
      </w:r>
    </w:p>
    <w:p w14:paraId="00709640" w14:textId="77777777" w:rsidR="006B0B4D" w:rsidRDefault="00000000">
      <w:pPr>
        <w:pStyle w:val="Heading2"/>
      </w:pPr>
      <w:r>
        <w:t>2.3 Non-Reconstructibility of Configuration Hash</w:t>
      </w:r>
    </w:p>
    <w:p w14:paraId="00709641" w14:textId="10ED93E7" w:rsidR="006B0B4D" w:rsidRDefault="00000000">
      <w:pPr>
        <w:spacing w:before="60" w:after="120"/>
      </w:pPr>
      <w:r>
        <w:rPr>
          <w:color w:val="212121"/>
        </w:rPr>
        <w:t xml:space="preserve">The Configuration Hash is generated once upon Vault instantiation </w:t>
      </w:r>
      <w:r w:rsidR="00FB0F32">
        <w:rPr>
          <w:color w:val="212121"/>
        </w:rPr>
        <w:t xml:space="preserve">by the client using </w:t>
      </w:r>
      <w:r w:rsidR="009E6598">
        <w:rPr>
          <w:color w:val="212121"/>
        </w:rPr>
        <w:t xml:space="preserve">a pattern unknown to Huntoso </w:t>
      </w:r>
      <w:r>
        <w:rPr>
          <w:color w:val="212121"/>
        </w:rPr>
        <w:t xml:space="preserve">seeded from </w:t>
      </w:r>
      <w:r w:rsidR="009E6598">
        <w:rPr>
          <w:color w:val="212121"/>
        </w:rPr>
        <w:t xml:space="preserve">their own personal </w:t>
      </w:r>
      <w:r>
        <w:rPr>
          <w:color w:val="212121"/>
        </w:rPr>
        <w:t>entropy sources. The hash is not derived from any recoverable inputs. Accordingly, the Configuration Hash cannot be reconstructed, reissued, or approximated by Huntoso through any technical means, including but not limited to:</w:t>
      </w:r>
    </w:p>
    <w:p w14:paraId="00709642" w14:textId="77777777" w:rsidR="006B0B4D" w:rsidRDefault="00000000">
      <w:pPr>
        <w:pStyle w:val="ListParagraph"/>
        <w:numPr>
          <w:ilvl w:val="0"/>
          <w:numId w:val="2"/>
        </w:numPr>
        <w:spacing w:before="40" w:after="80"/>
      </w:pPr>
      <w:r>
        <w:rPr>
          <w:color w:val="212121"/>
        </w:rPr>
        <w:t>Access to Azure Key Vault key material</w:t>
      </w:r>
    </w:p>
    <w:p w14:paraId="00709643" w14:textId="77777777" w:rsidR="006B0B4D" w:rsidRDefault="00000000">
      <w:pPr>
        <w:pStyle w:val="ListParagraph"/>
        <w:numPr>
          <w:ilvl w:val="0"/>
          <w:numId w:val="2"/>
        </w:numPr>
        <w:spacing w:before="40" w:after="80"/>
      </w:pPr>
      <w:r>
        <w:rPr>
          <w:color w:val="212121"/>
        </w:rPr>
        <w:t>Access to encrypted Vault blob storage</w:t>
      </w:r>
    </w:p>
    <w:p w14:paraId="00709644" w14:textId="77777777" w:rsidR="006B0B4D" w:rsidRDefault="00000000">
      <w:pPr>
        <w:pStyle w:val="ListParagraph"/>
        <w:numPr>
          <w:ilvl w:val="0"/>
          <w:numId w:val="2"/>
        </w:numPr>
        <w:spacing w:before="40" w:after="80"/>
      </w:pPr>
      <w:r>
        <w:rPr>
          <w:color w:val="212121"/>
        </w:rPr>
        <w:t>Access to Huntoso application source code and infrastructure</w:t>
      </w:r>
    </w:p>
    <w:p w14:paraId="00709645" w14:textId="77777777" w:rsidR="006B0B4D" w:rsidRDefault="00000000">
      <w:pPr>
        <w:pStyle w:val="ListParagraph"/>
        <w:numPr>
          <w:ilvl w:val="0"/>
          <w:numId w:val="2"/>
        </w:numPr>
        <w:spacing w:before="40" w:after="80"/>
      </w:pPr>
      <w:r>
        <w:rPr>
          <w:color w:val="212121"/>
        </w:rPr>
        <w:t>Legal process, court order, or regulatory compulsion</w:t>
      </w:r>
    </w:p>
    <w:p w14:paraId="00709646" w14:textId="77777777" w:rsidR="006B0B4D" w:rsidRDefault="00000000">
      <w:pPr>
        <w:pStyle w:val="ListParagraph"/>
        <w:numPr>
          <w:ilvl w:val="0"/>
          <w:numId w:val="2"/>
        </w:numPr>
        <w:spacing w:before="40" w:after="80"/>
      </w:pPr>
      <w:r>
        <w:rPr>
          <w:color w:val="212121"/>
        </w:rPr>
        <w:t>Collaboration with Microsoft Corporation or any other infrastructure provider</w:t>
      </w:r>
    </w:p>
    <w:p w14:paraId="00709647" w14:textId="77777777" w:rsidR="006B0B4D" w:rsidRDefault="006B0B4D">
      <w:pPr>
        <w:spacing w:after="80"/>
      </w:pPr>
    </w:p>
    <w:p w14:paraId="00709648" w14:textId="77777777" w:rsidR="006B0B4D" w:rsidRDefault="00000000">
      <w:pPr>
        <w:pStyle w:val="Heading2"/>
      </w:pPr>
      <w:r>
        <w:t>2.4 Configuration Hash Storage Location</w:t>
      </w:r>
    </w:p>
    <w:p w14:paraId="00709649" w14:textId="29F48663" w:rsidR="006B0B4D" w:rsidRDefault="00000000">
      <w:pPr>
        <w:spacing w:before="60" w:after="120"/>
      </w:pPr>
      <w:r>
        <w:rPr>
          <w:color w:val="212121"/>
        </w:rPr>
        <w:t>The Configuration Hash is generated client-side and transmitted to</w:t>
      </w:r>
      <w:r w:rsidR="00562361">
        <w:rPr>
          <w:color w:val="212121"/>
        </w:rPr>
        <w:t xml:space="preserve"> the</w:t>
      </w:r>
      <w:r>
        <w:rPr>
          <w:color w:val="212121"/>
        </w:rPr>
        <w:t xml:space="preserve"> Customer's designated </w:t>
      </w:r>
      <w:r w:rsidR="008B154B">
        <w:rPr>
          <w:color w:val="212121"/>
        </w:rPr>
        <w:t xml:space="preserve">key vault storage (FIPS 140-2 Level 3 if HSM backed) </w:t>
      </w:r>
      <w:r w:rsidR="00054427">
        <w:rPr>
          <w:color w:val="212121"/>
        </w:rPr>
        <w:t xml:space="preserve">at the </w:t>
      </w:r>
      <w:r>
        <w:rPr>
          <w:color w:val="212121"/>
        </w:rPr>
        <w:t xml:space="preserve">time of </w:t>
      </w:r>
      <w:r w:rsidR="00054427">
        <w:rPr>
          <w:color w:val="212121"/>
        </w:rPr>
        <w:t>hash</w:t>
      </w:r>
      <w:r>
        <w:rPr>
          <w:color w:val="212121"/>
        </w:rPr>
        <w:t xml:space="preserve"> provisioning. Customer is solely responsible for the backup, </w:t>
      </w:r>
      <w:r w:rsidR="00B56C4E">
        <w:rPr>
          <w:color w:val="212121"/>
        </w:rPr>
        <w:t>of t</w:t>
      </w:r>
      <w:r>
        <w:rPr>
          <w:color w:val="212121"/>
        </w:rPr>
        <w:t>he Configuration Hash following transmission.</w:t>
      </w:r>
    </w:p>
    <w:p w14:paraId="0070964A" w14:textId="77777777" w:rsidR="006B0B4D" w:rsidRDefault="006B0B4D">
      <w:pPr>
        <w:spacing w:after="80"/>
      </w:pPr>
    </w:p>
    <w:p w14:paraId="0070964B" w14:textId="77777777" w:rsidR="006B0B4D" w:rsidRDefault="00000000">
      <w:pPr>
        <w:pStyle w:val="Heading1"/>
      </w:pPr>
      <w:r>
        <w:t>3. Shared Responsibility Model</w:t>
      </w:r>
    </w:p>
    <w:p w14:paraId="0070964C" w14:textId="77777777" w:rsidR="006B0B4D" w:rsidRDefault="00000000">
      <w:pPr>
        <w:pStyle w:val="Heading2"/>
      </w:pPr>
      <w:r>
        <w:lastRenderedPageBreak/>
        <w:t>3.1 Allocation of Responsibilities</w:t>
      </w:r>
    </w:p>
    <w:p w14:paraId="0070964D" w14:textId="77777777" w:rsidR="006B0B4D" w:rsidRDefault="00000000">
      <w:pPr>
        <w:spacing w:before="60" w:after="120"/>
      </w:pPr>
      <w:r>
        <w:rPr>
          <w:color w:val="212121"/>
        </w:rPr>
        <w:t>Customer and Huntoso each bear distinct and non-overlapping responsibilities with respect to Vault security and availability, as set forth in the following matrix:</w:t>
      </w:r>
    </w:p>
    <w:p w14:paraId="0070964E" w14:textId="77777777" w:rsidR="006B0B4D" w:rsidRDefault="006B0B4D">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480"/>
        <w:gridCol w:w="3480"/>
      </w:tblGrid>
      <w:tr w:rsidR="006B0B4D" w14:paraId="00709652" w14:textId="77777777">
        <w:tblPrEx>
          <w:tblCellMar>
            <w:top w:w="0" w:type="dxa"/>
            <w:bottom w:w="0" w:type="dxa"/>
          </w:tblCellMar>
        </w:tblPrEx>
        <w:tc>
          <w:tcPr>
            <w:tcW w:w="2400" w:type="dxa"/>
            <w:tcBorders>
              <w:top w:val="single" w:sz="6" w:space="0" w:color="1A237E"/>
              <w:left w:val="single" w:sz="6" w:space="0" w:color="1A237E"/>
              <w:bottom w:val="single" w:sz="6" w:space="0" w:color="1A237E"/>
              <w:right w:val="single" w:sz="6" w:space="0" w:color="1A237E"/>
            </w:tcBorders>
            <w:shd w:val="clear" w:color="auto" w:fill="1A237E"/>
            <w:tcMar>
              <w:top w:w="100" w:type="dxa"/>
              <w:left w:w="140" w:type="dxa"/>
              <w:bottom w:w="100" w:type="dxa"/>
              <w:right w:w="140" w:type="dxa"/>
            </w:tcMar>
          </w:tcPr>
          <w:p w14:paraId="0070964F" w14:textId="77777777" w:rsidR="006B0B4D" w:rsidRDefault="00000000">
            <w:r>
              <w:rPr>
                <w:b/>
                <w:bCs/>
                <w:color w:val="FFFFFF"/>
                <w:sz w:val="20"/>
                <w:szCs w:val="20"/>
              </w:rPr>
              <w:t>Responsibility Area</w:t>
            </w:r>
          </w:p>
        </w:tc>
        <w:tc>
          <w:tcPr>
            <w:tcW w:w="3480" w:type="dxa"/>
            <w:tcBorders>
              <w:top w:val="single" w:sz="6" w:space="0" w:color="1A237E"/>
              <w:left w:val="single" w:sz="6" w:space="0" w:color="1A237E"/>
              <w:bottom w:val="single" w:sz="6" w:space="0" w:color="1A237E"/>
              <w:right w:val="single" w:sz="6" w:space="0" w:color="1A237E"/>
            </w:tcBorders>
            <w:shd w:val="clear" w:color="auto" w:fill="1A237E"/>
            <w:tcMar>
              <w:top w:w="100" w:type="dxa"/>
              <w:left w:w="140" w:type="dxa"/>
              <w:bottom w:w="100" w:type="dxa"/>
              <w:right w:w="140" w:type="dxa"/>
            </w:tcMar>
          </w:tcPr>
          <w:p w14:paraId="00709650" w14:textId="77777777" w:rsidR="006B0B4D" w:rsidRDefault="00000000">
            <w:r>
              <w:rPr>
                <w:b/>
                <w:bCs/>
                <w:color w:val="FFFFFF"/>
                <w:sz w:val="20"/>
                <w:szCs w:val="20"/>
              </w:rPr>
              <w:t>Huntoso, LLC</w:t>
            </w:r>
          </w:p>
        </w:tc>
        <w:tc>
          <w:tcPr>
            <w:tcW w:w="3480" w:type="dxa"/>
            <w:tcBorders>
              <w:top w:val="single" w:sz="6" w:space="0" w:color="1A237E"/>
              <w:left w:val="single" w:sz="6" w:space="0" w:color="1A237E"/>
              <w:bottom w:val="single" w:sz="6" w:space="0" w:color="1A237E"/>
              <w:right w:val="single" w:sz="6" w:space="0" w:color="1A237E"/>
            </w:tcBorders>
            <w:shd w:val="clear" w:color="auto" w:fill="1A237E"/>
            <w:tcMar>
              <w:top w:w="100" w:type="dxa"/>
              <w:left w:w="140" w:type="dxa"/>
              <w:bottom w:w="100" w:type="dxa"/>
              <w:right w:w="140" w:type="dxa"/>
            </w:tcMar>
          </w:tcPr>
          <w:p w14:paraId="00709651" w14:textId="77777777" w:rsidR="006B0B4D" w:rsidRDefault="00000000">
            <w:r>
              <w:rPr>
                <w:b/>
                <w:bCs/>
                <w:color w:val="FFFFFF"/>
                <w:sz w:val="20"/>
                <w:szCs w:val="20"/>
              </w:rPr>
              <w:t>Customer</w:t>
            </w:r>
          </w:p>
        </w:tc>
      </w:tr>
      <w:tr w:rsidR="006B0B4D" w14:paraId="00709656" w14:textId="77777777">
        <w:tblPrEx>
          <w:tblCellMar>
            <w:top w:w="0" w:type="dxa"/>
            <w:bottom w:w="0" w:type="dxa"/>
          </w:tblCellMar>
        </w:tblPrEx>
        <w:tc>
          <w:tcPr>
            <w:tcW w:w="2400" w:type="dxa"/>
            <w:tcBorders>
              <w:top w:val="single" w:sz="6" w:space="0" w:color="90A4AE"/>
              <w:left w:val="single" w:sz="6" w:space="0" w:color="90A4AE"/>
              <w:bottom w:val="single" w:sz="6" w:space="0" w:color="90A4AE"/>
              <w:right w:val="single" w:sz="6" w:space="0" w:color="90A4AE"/>
            </w:tcBorders>
            <w:shd w:val="clear" w:color="auto" w:fill="ECEFF1"/>
            <w:tcMar>
              <w:top w:w="80" w:type="dxa"/>
              <w:left w:w="120" w:type="dxa"/>
              <w:bottom w:w="80" w:type="dxa"/>
              <w:right w:w="120" w:type="dxa"/>
            </w:tcMar>
          </w:tcPr>
          <w:p w14:paraId="00709653" w14:textId="77777777" w:rsidR="006B0B4D" w:rsidRDefault="00000000">
            <w:r>
              <w:rPr>
                <w:b/>
                <w:bCs/>
                <w:color w:val="212121"/>
                <w:sz w:val="20"/>
                <w:szCs w:val="20"/>
              </w:rPr>
              <w:t>Vault encryption and security</w:t>
            </w:r>
          </w:p>
        </w:tc>
        <w:tc>
          <w:tcPr>
            <w:tcW w:w="3480" w:type="dxa"/>
            <w:tcBorders>
              <w:top w:val="single" w:sz="6" w:space="0" w:color="90A4AE"/>
              <w:left w:val="single" w:sz="6" w:space="0" w:color="90A4AE"/>
              <w:bottom w:val="single" w:sz="6" w:space="0" w:color="90A4AE"/>
              <w:right w:val="single" w:sz="6" w:space="0" w:color="90A4AE"/>
            </w:tcBorders>
            <w:tcMar>
              <w:top w:w="80" w:type="dxa"/>
              <w:left w:w="120" w:type="dxa"/>
              <w:bottom w:w="80" w:type="dxa"/>
              <w:right w:w="120" w:type="dxa"/>
            </w:tcMar>
          </w:tcPr>
          <w:p w14:paraId="00709654" w14:textId="77777777" w:rsidR="006B0B4D" w:rsidRDefault="00000000">
            <w:r>
              <w:rPr>
                <w:color w:val="212121"/>
                <w:sz w:val="19"/>
                <w:szCs w:val="19"/>
              </w:rPr>
              <w:t>Responsible: maintains AES-256 encryption, Azure Key Vault integration, and tenant isolation</w:t>
            </w:r>
          </w:p>
        </w:tc>
        <w:tc>
          <w:tcPr>
            <w:tcW w:w="3480" w:type="dxa"/>
            <w:tcBorders>
              <w:top w:val="single" w:sz="6" w:space="0" w:color="90A4AE"/>
              <w:left w:val="single" w:sz="6" w:space="0" w:color="90A4AE"/>
              <w:bottom w:val="single" w:sz="6" w:space="0" w:color="90A4AE"/>
              <w:right w:val="single" w:sz="6" w:space="0" w:color="90A4AE"/>
            </w:tcBorders>
            <w:tcMar>
              <w:top w:w="80" w:type="dxa"/>
              <w:left w:w="120" w:type="dxa"/>
              <w:bottom w:w="80" w:type="dxa"/>
              <w:right w:w="120" w:type="dxa"/>
            </w:tcMar>
          </w:tcPr>
          <w:p w14:paraId="00709655" w14:textId="77777777" w:rsidR="006B0B4D" w:rsidRDefault="00000000">
            <w:r>
              <w:rPr>
                <w:color w:val="212121"/>
                <w:sz w:val="19"/>
                <w:szCs w:val="19"/>
              </w:rPr>
              <w:t>Responsible: ensuring authorized access sessions; protection of credentials used to access the Services</w:t>
            </w:r>
          </w:p>
        </w:tc>
      </w:tr>
      <w:tr w:rsidR="006B0B4D" w14:paraId="0070965A" w14:textId="77777777">
        <w:tblPrEx>
          <w:tblCellMar>
            <w:top w:w="0" w:type="dxa"/>
            <w:bottom w:w="0" w:type="dxa"/>
          </w:tblCellMar>
        </w:tblPrEx>
        <w:tc>
          <w:tcPr>
            <w:tcW w:w="2400" w:type="dxa"/>
            <w:tcBorders>
              <w:top w:val="single" w:sz="6" w:space="0" w:color="90A4AE"/>
              <w:left w:val="single" w:sz="6" w:space="0" w:color="90A4AE"/>
              <w:bottom w:val="single" w:sz="6" w:space="0" w:color="90A4AE"/>
              <w:right w:val="single" w:sz="6" w:space="0" w:color="90A4AE"/>
            </w:tcBorders>
            <w:shd w:val="clear" w:color="auto" w:fill="ECEFF1"/>
            <w:tcMar>
              <w:top w:w="80" w:type="dxa"/>
              <w:left w:w="120" w:type="dxa"/>
              <w:bottom w:w="80" w:type="dxa"/>
              <w:right w:w="120" w:type="dxa"/>
            </w:tcMar>
          </w:tcPr>
          <w:p w14:paraId="00709657" w14:textId="77777777" w:rsidR="006B0B4D" w:rsidRDefault="00000000">
            <w:r>
              <w:rPr>
                <w:b/>
                <w:bCs/>
                <w:color w:val="212121"/>
                <w:sz w:val="20"/>
                <w:szCs w:val="20"/>
              </w:rPr>
              <w:t>Configuration Hash custody</w:t>
            </w:r>
          </w:p>
        </w:tc>
        <w:tc>
          <w:tcPr>
            <w:tcW w:w="3480" w:type="dxa"/>
            <w:tcBorders>
              <w:top w:val="single" w:sz="6" w:space="0" w:color="90A4AE"/>
              <w:left w:val="single" w:sz="6" w:space="0" w:color="90A4AE"/>
              <w:bottom w:val="single" w:sz="6" w:space="0" w:color="90A4AE"/>
              <w:right w:val="single" w:sz="6" w:space="0" w:color="90A4AE"/>
            </w:tcBorders>
            <w:tcMar>
              <w:top w:w="80" w:type="dxa"/>
              <w:left w:w="120" w:type="dxa"/>
              <w:bottom w:w="80" w:type="dxa"/>
              <w:right w:w="120" w:type="dxa"/>
            </w:tcMar>
          </w:tcPr>
          <w:p w14:paraId="00709658" w14:textId="77777777" w:rsidR="006B0B4D" w:rsidRDefault="00000000">
            <w:r>
              <w:rPr>
                <w:color w:val="212121"/>
                <w:sz w:val="19"/>
                <w:szCs w:val="19"/>
              </w:rPr>
              <w:t>Not responsible: Configuration Hash is not retained by Huntoso</w:t>
            </w:r>
          </w:p>
        </w:tc>
        <w:tc>
          <w:tcPr>
            <w:tcW w:w="3480" w:type="dxa"/>
            <w:tcBorders>
              <w:top w:val="single" w:sz="6" w:space="0" w:color="90A4AE"/>
              <w:left w:val="single" w:sz="6" w:space="0" w:color="90A4AE"/>
              <w:bottom w:val="single" w:sz="6" w:space="0" w:color="90A4AE"/>
              <w:right w:val="single" w:sz="6" w:space="0" w:color="90A4AE"/>
            </w:tcBorders>
            <w:tcMar>
              <w:top w:w="80" w:type="dxa"/>
              <w:left w:w="120" w:type="dxa"/>
              <w:bottom w:w="80" w:type="dxa"/>
              <w:right w:w="120" w:type="dxa"/>
            </w:tcMar>
          </w:tcPr>
          <w:p w14:paraId="00709659" w14:textId="77777777" w:rsidR="006B0B4D" w:rsidRDefault="00000000">
            <w:r>
              <w:rPr>
                <w:color w:val="212121"/>
                <w:sz w:val="19"/>
                <w:szCs w:val="19"/>
              </w:rPr>
              <w:t>Solely responsible: generation backup, storage, and protection of the Configuration Hash</w:t>
            </w:r>
          </w:p>
        </w:tc>
      </w:tr>
      <w:tr w:rsidR="006B0B4D" w14:paraId="0070965E" w14:textId="77777777">
        <w:tblPrEx>
          <w:tblCellMar>
            <w:top w:w="0" w:type="dxa"/>
            <w:bottom w:w="0" w:type="dxa"/>
          </w:tblCellMar>
        </w:tblPrEx>
        <w:tc>
          <w:tcPr>
            <w:tcW w:w="2400" w:type="dxa"/>
            <w:tcBorders>
              <w:top w:val="single" w:sz="6" w:space="0" w:color="90A4AE"/>
              <w:left w:val="single" w:sz="6" w:space="0" w:color="90A4AE"/>
              <w:bottom w:val="single" w:sz="6" w:space="0" w:color="90A4AE"/>
              <w:right w:val="single" w:sz="6" w:space="0" w:color="90A4AE"/>
            </w:tcBorders>
            <w:shd w:val="clear" w:color="auto" w:fill="ECEFF1"/>
            <w:tcMar>
              <w:top w:w="80" w:type="dxa"/>
              <w:left w:w="120" w:type="dxa"/>
              <w:bottom w:w="80" w:type="dxa"/>
              <w:right w:w="120" w:type="dxa"/>
            </w:tcMar>
          </w:tcPr>
          <w:p w14:paraId="0070965B" w14:textId="77777777" w:rsidR="006B0B4D" w:rsidRDefault="00000000">
            <w:r>
              <w:rPr>
                <w:b/>
                <w:bCs/>
                <w:color w:val="212121"/>
                <w:sz w:val="20"/>
                <w:szCs w:val="20"/>
              </w:rPr>
              <w:t>Platform availability (excluding Configuration Hash)</w:t>
            </w:r>
          </w:p>
        </w:tc>
        <w:tc>
          <w:tcPr>
            <w:tcW w:w="3480" w:type="dxa"/>
            <w:tcBorders>
              <w:top w:val="single" w:sz="6" w:space="0" w:color="90A4AE"/>
              <w:left w:val="single" w:sz="6" w:space="0" w:color="90A4AE"/>
              <w:bottom w:val="single" w:sz="6" w:space="0" w:color="90A4AE"/>
              <w:right w:val="single" w:sz="6" w:space="0" w:color="90A4AE"/>
            </w:tcBorders>
            <w:tcMar>
              <w:top w:w="80" w:type="dxa"/>
              <w:left w:w="120" w:type="dxa"/>
              <w:bottom w:w="80" w:type="dxa"/>
              <w:right w:w="120" w:type="dxa"/>
            </w:tcMar>
          </w:tcPr>
          <w:p w14:paraId="0070965C" w14:textId="77777777" w:rsidR="006B0B4D" w:rsidRDefault="00000000">
            <w:r>
              <w:rPr>
                <w:color w:val="212121"/>
                <w:sz w:val="19"/>
                <w:szCs w:val="19"/>
              </w:rPr>
              <w:t>Responsible: 99.9% SLA on vault infrastructure availability</w:t>
            </w:r>
          </w:p>
        </w:tc>
        <w:tc>
          <w:tcPr>
            <w:tcW w:w="3480" w:type="dxa"/>
            <w:tcBorders>
              <w:top w:val="single" w:sz="6" w:space="0" w:color="90A4AE"/>
              <w:left w:val="single" w:sz="6" w:space="0" w:color="90A4AE"/>
              <w:bottom w:val="single" w:sz="6" w:space="0" w:color="90A4AE"/>
              <w:right w:val="single" w:sz="6" w:space="0" w:color="90A4AE"/>
            </w:tcBorders>
            <w:tcMar>
              <w:top w:w="80" w:type="dxa"/>
              <w:left w:w="120" w:type="dxa"/>
              <w:bottom w:w="80" w:type="dxa"/>
              <w:right w:w="120" w:type="dxa"/>
            </w:tcMar>
          </w:tcPr>
          <w:p w14:paraId="0070965D" w14:textId="77777777" w:rsidR="006B0B4D" w:rsidRDefault="00000000">
            <w:r>
              <w:rPr>
                <w:color w:val="212121"/>
                <w:sz w:val="19"/>
                <w:szCs w:val="19"/>
              </w:rPr>
              <w:t>Not responsible</w:t>
            </w:r>
          </w:p>
        </w:tc>
      </w:tr>
      <w:tr w:rsidR="006B0B4D" w14:paraId="00709662" w14:textId="77777777">
        <w:tblPrEx>
          <w:tblCellMar>
            <w:top w:w="0" w:type="dxa"/>
            <w:bottom w:w="0" w:type="dxa"/>
          </w:tblCellMar>
        </w:tblPrEx>
        <w:tc>
          <w:tcPr>
            <w:tcW w:w="2400" w:type="dxa"/>
            <w:tcBorders>
              <w:top w:val="single" w:sz="6" w:space="0" w:color="90A4AE"/>
              <w:left w:val="single" w:sz="6" w:space="0" w:color="90A4AE"/>
              <w:bottom w:val="single" w:sz="6" w:space="0" w:color="90A4AE"/>
              <w:right w:val="single" w:sz="6" w:space="0" w:color="90A4AE"/>
            </w:tcBorders>
            <w:shd w:val="clear" w:color="auto" w:fill="ECEFF1"/>
            <w:tcMar>
              <w:top w:w="80" w:type="dxa"/>
              <w:left w:w="120" w:type="dxa"/>
              <w:bottom w:w="80" w:type="dxa"/>
              <w:right w:w="120" w:type="dxa"/>
            </w:tcMar>
          </w:tcPr>
          <w:p w14:paraId="0070965F" w14:textId="77777777" w:rsidR="006B0B4D" w:rsidRDefault="00000000">
            <w:r>
              <w:rPr>
                <w:b/>
                <w:bCs/>
                <w:color w:val="212121"/>
                <w:sz w:val="20"/>
                <w:szCs w:val="20"/>
              </w:rPr>
              <w:t>Data backup within Vault</w:t>
            </w:r>
          </w:p>
        </w:tc>
        <w:tc>
          <w:tcPr>
            <w:tcW w:w="3480" w:type="dxa"/>
            <w:tcBorders>
              <w:top w:val="single" w:sz="6" w:space="0" w:color="90A4AE"/>
              <w:left w:val="single" w:sz="6" w:space="0" w:color="90A4AE"/>
              <w:bottom w:val="single" w:sz="6" w:space="0" w:color="90A4AE"/>
              <w:right w:val="single" w:sz="6" w:space="0" w:color="90A4AE"/>
            </w:tcBorders>
            <w:tcMar>
              <w:top w:w="80" w:type="dxa"/>
              <w:left w:w="120" w:type="dxa"/>
              <w:bottom w:w="80" w:type="dxa"/>
              <w:right w:w="120" w:type="dxa"/>
            </w:tcMar>
          </w:tcPr>
          <w:p w14:paraId="00709660" w14:textId="5BAEC8F2" w:rsidR="006B0B4D" w:rsidRDefault="00DC771A">
            <w:r>
              <w:rPr>
                <w:color w:val="212121"/>
                <w:sz w:val="19"/>
                <w:szCs w:val="19"/>
              </w:rPr>
              <w:t xml:space="preserve">Not </w:t>
            </w:r>
            <w:r w:rsidR="00000000">
              <w:rPr>
                <w:color w:val="212121"/>
                <w:sz w:val="19"/>
                <w:szCs w:val="19"/>
              </w:rPr>
              <w:t xml:space="preserve">Responsible: </w:t>
            </w:r>
            <w:r>
              <w:rPr>
                <w:color w:val="212121"/>
                <w:sz w:val="19"/>
                <w:szCs w:val="19"/>
              </w:rPr>
              <w:t>data is not backed up</w:t>
            </w:r>
            <w:r w:rsidR="00C27470">
              <w:rPr>
                <w:color w:val="212121"/>
                <w:sz w:val="19"/>
                <w:szCs w:val="19"/>
              </w:rPr>
              <w:t>, passwords can be reset in the event of failure</w:t>
            </w:r>
          </w:p>
        </w:tc>
        <w:tc>
          <w:tcPr>
            <w:tcW w:w="3480" w:type="dxa"/>
            <w:tcBorders>
              <w:top w:val="single" w:sz="6" w:space="0" w:color="90A4AE"/>
              <w:left w:val="single" w:sz="6" w:space="0" w:color="90A4AE"/>
              <w:bottom w:val="single" w:sz="6" w:space="0" w:color="90A4AE"/>
              <w:right w:val="single" w:sz="6" w:space="0" w:color="90A4AE"/>
            </w:tcBorders>
            <w:tcMar>
              <w:top w:w="80" w:type="dxa"/>
              <w:left w:w="120" w:type="dxa"/>
              <w:bottom w:w="80" w:type="dxa"/>
              <w:right w:w="120" w:type="dxa"/>
            </w:tcMar>
          </w:tcPr>
          <w:p w14:paraId="00709661" w14:textId="77777777" w:rsidR="006B0B4D" w:rsidRDefault="00000000">
            <w:r>
              <w:rPr>
                <w:color w:val="212121"/>
                <w:sz w:val="19"/>
                <w:szCs w:val="19"/>
              </w:rPr>
              <w:t>Responsible: export and off-platform backup of plaintext data prior to key loss; verification of backup integrity</w:t>
            </w:r>
          </w:p>
        </w:tc>
      </w:tr>
      <w:tr w:rsidR="006B0B4D" w14:paraId="00709666" w14:textId="77777777">
        <w:tblPrEx>
          <w:tblCellMar>
            <w:top w:w="0" w:type="dxa"/>
            <w:bottom w:w="0" w:type="dxa"/>
          </w:tblCellMar>
        </w:tblPrEx>
        <w:tc>
          <w:tcPr>
            <w:tcW w:w="2400" w:type="dxa"/>
            <w:tcBorders>
              <w:top w:val="single" w:sz="6" w:space="0" w:color="90A4AE"/>
              <w:left w:val="single" w:sz="6" w:space="0" w:color="90A4AE"/>
              <w:bottom w:val="single" w:sz="6" w:space="0" w:color="90A4AE"/>
              <w:right w:val="single" w:sz="6" w:space="0" w:color="90A4AE"/>
            </w:tcBorders>
            <w:shd w:val="clear" w:color="auto" w:fill="ECEFF1"/>
            <w:tcMar>
              <w:top w:w="80" w:type="dxa"/>
              <w:left w:w="120" w:type="dxa"/>
              <w:bottom w:w="80" w:type="dxa"/>
              <w:right w:w="120" w:type="dxa"/>
            </w:tcMar>
          </w:tcPr>
          <w:p w14:paraId="00709663" w14:textId="77777777" w:rsidR="006B0B4D" w:rsidRDefault="00000000">
            <w:r>
              <w:rPr>
                <w:b/>
                <w:bCs/>
                <w:color w:val="212121"/>
                <w:sz w:val="20"/>
                <w:szCs w:val="20"/>
              </w:rPr>
              <w:t>Vault recovery after Irrecoverable Loss Event</w:t>
            </w:r>
          </w:p>
        </w:tc>
        <w:tc>
          <w:tcPr>
            <w:tcW w:w="3480" w:type="dxa"/>
            <w:tcBorders>
              <w:top w:val="single" w:sz="6" w:space="0" w:color="90A4AE"/>
              <w:left w:val="single" w:sz="6" w:space="0" w:color="90A4AE"/>
              <w:bottom w:val="single" w:sz="6" w:space="0" w:color="90A4AE"/>
              <w:right w:val="single" w:sz="6" w:space="0" w:color="90A4AE"/>
            </w:tcBorders>
            <w:tcMar>
              <w:top w:w="80" w:type="dxa"/>
              <w:left w:w="120" w:type="dxa"/>
              <w:bottom w:w="80" w:type="dxa"/>
              <w:right w:w="120" w:type="dxa"/>
            </w:tcMar>
          </w:tcPr>
          <w:p w14:paraId="00709664" w14:textId="77777777" w:rsidR="006B0B4D" w:rsidRDefault="00000000">
            <w:r>
              <w:rPr>
                <w:color w:val="212121"/>
                <w:sz w:val="19"/>
                <w:szCs w:val="19"/>
              </w:rPr>
              <w:t>Not possible: Vault recovery is technically impossible without Configuration Hash regardless of fault</w:t>
            </w:r>
          </w:p>
        </w:tc>
        <w:tc>
          <w:tcPr>
            <w:tcW w:w="3480" w:type="dxa"/>
            <w:tcBorders>
              <w:top w:val="single" w:sz="6" w:space="0" w:color="90A4AE"/>
              <w:left w:val="single" w:sz="6" w:space="0" w:color="90A4AE"/>
              <w:bottom w:val="single" w:sz="6" w:space="0" w:color="90A4AE"/>
              <w:right w:val="single" w:sz="6" w:space="0" w:color="90A4AE"/>
            </w:tcBorders>
            <w:tcMar>
              <w:top w:w="80" w:type="dxa"/>
              <w:left w:w="120" w:type="dxa"/>
              <w:bottom w:w="80" w:type="dxa"/>
              <w:right w:w="120" w:type="dxa"/>
            </w:tcMar>
          </w:tcPr>
          <w:p w14:paraId="00709665" w14:textId="77777777" w:rsidR="006B0B4D" w:rsidRDefault="00000000">
            <w:r>
              <w:rPr>
                <w:color w:val="212121"/>
                <w:sz w:val="19"/>
                <w:szCs w:val="19"/>
              </w:rPr>
              <w:t>Solely responsible for consequences of Irrecoverable Loss Event caused by Customer or its agents</w:t>
            </w:r>
          </w:p>
        </w:tc>
      </w:tr>
      <w:tr w:rsidR="006B0B4D" w14:paraId="0070966A" w14:textId="77777777">
        <w:tblPrEx>
          <w:tblCellMar>
            <w:top w:w="0" w:type="dxa"/>
            <w:bottom w:w="0" w:type="dxa"/>
          </w:tblCellMar>
        </w:tblPrEx>
        <w:tc>
          <w:tcPr>
            <w:tcW w:w="2400" w:type="dxa"/>
            <w:tcBorders>
              <w:top w:val="single" w:sz="6" w:space="0" w:color="90A4AE"/>
              <w:left w:val="single" w:sz="6" w:space="0" w:color="90A4AE"/>
              <w:bottom w:val="single" w:sz="6" w:space="0" w:color="90A4AE"/>
              <w:right w:val="single" w:sz="6" w:space="0" w:color="90A4AE"/>
            </w:tcBorders>
            <w:shd w:val="clear" w:color="auto" w:fill="ECEFF1"/>
            <w:tcMar>
              <w:top w:w="80" w:type="dxa"/>
              <w:left w:w="120" w:type="dxa"/>
              <w:bottom w:w="80" w:type="dxa"/>
              <w:right w:w="120" w:type="dxa"/>
            </w:tcMar>
          </w:tcPr>
          <w:p w14:paraId="00709667" w14:textId="77777777" w:rsidR="006B0B4D" w:rsidRDefault="00000000">
            <w:r>
              <w:rPr>
                <w:b/>
                <w:bCs/>
                <w:color w:val="212121"/>
                <w:sz w:val="20"/>
                <w:szCs w:val="20"/>
              </w:rPr>
              <w:t>Access control to Vault</w:t>
            </w:r>
          </w:p>
        </w:tc>
        <w:tc>
          <w:tcPr>
            <w:tcW w:w="3480" w:type="dxa"/>
            <w:tcBorders>
              <w:top w:val="single" w:sz="6" w:space="0" w:color="90A4AE"/>
              <w:left w:val="single" w:sz="6" w:space="0" w:color="90A4AE"/>
              <w:bottom w:val="single" w:sz="6" w:space="0" w:color="90A4AE"/>
              <w:right w:val="single" w:sz="6" w:space="0" w:color="90A4AE"/>
            </w:tcBorders>
            <w:tcMar>
              <w:top w:w="80" w:type="dxa"/>
              <w:left w:w="120" w:type="dxa"/>
              <w:bottom w:w="80" w:type="dxa"/>
              <w:right w:w="120" w:type="dxa"/>
            </w:tcMar>
          </w:tcPr>
          <w:p w14:paraId="00709668" w14:textId="7DA136BD" w:rsidR="006B0B4D" w:rsidRDefault="00000000">
            <w:r>
              <w:rPr>
                <w:color w:val="212121"/>
                <w:sz w:val="19"/>
                <w:szCs w:val="19"/>
              </w:rPr>
              <w:t>Responsible: enforces role-based access controls within platform</w:t>
            </w:r>
            <w:r w:rsidR="00C348A0">
              <w:rPr>
                <w:color w:val="212121"/>
                <w:sz w:val="19"/>
                <w:szCs w:val="19"/>
              </w:rPr>
              <w:t>, including</w:t>
            </w:r>
            <w:r w:rsidR="00C348A0">
              <w:rPr>
                <w:color w:val="212121"/>
                <w:sz w:val="19"/>
                <w:szCs w:val="19"/>
              </w:rPr>
              <w:t xml:space="preserve"> API credential security</w:t>
            </w:r>
          </w:p>
        </w:tc>
        <w:tc>
          <w:tcPr>
            <w:tcW w:w="3480" w:type="dxa"/>
            <w:tcBorders>
              <w:top w:val="single" w:sz="6" w:space="0" w:color="90A4AE"/>
              <w:left w:val="single" w:sz="6" w:space="0" w:color="90A4AE"/>
              <w:bottom w:val="single" w:sz="6" w:space="0" w:color="90A4AE"/>
              <w:right w:val="single" w:sz="6" w:space="0" w:color="90A4AE"/>
            </w:tcBorders>
            <w:tcMar>
              <w:top w:w="80" w:type="dxa"/>
              <w:left w:w="120" w:type="dxa"/>
              <w:bottom w:w="80" w:type="dxa"/>
              <w:right w:w="120" w:type="dxa"/>
            </w:tcMar>
          </w:tcPr>
          <w:p w14:paraId="00709669" w14:textId="48215D8D" w:rsidR="006B0B4D" w:rsidRDefault="00000000">
            <w:r>
              <w:rPr>
                <w:color w:val="212121"/>
                <w:sz w:val="19"/>
                <w:szCs w:val="19"/>
              </w:rPr>
              <w:t>Responsible: management of user accounts, MFA, permissions</w:t>
            </w:r>
          </w:p>
        </w:tc>
      </w:tr>
    </w:tbl>
    <w:p w14:paraId="0070966B" w14:textId="77777777" w:rsidR="006B0B4D" w:rsidRDefault="006B0B4D">
      <w:pPr>
        <w:spacing w:after="200"/>
      </w:pPr>
    </w:p>
    <w:p w14:paraId="0070966C" w14:textId="77777777" w:rsidR="006B0B4D" w:rsidRDefault="00000000">
      <w:pPr>
        <w:pStyle w:val="Heading2"/>
      </w:pPr>
      <w:r>
        <w:t>3.2 Customer's Affirmative Obligations</w:t>
      </w:r>
    </w:p>
    <w:p w14:paraId="0070966D" w14:textId="77777777" w:rsidR="006B0B4D" w:rsidRDefault="00000000">
      <w:pPr>
        <w:spacing w:before="60" w:after="120"/>
      </w:pPr>
      <w:r>
        <w:rPr>
          <w:color w:val="212121"/>
        </w:rPr>
        <w:t>Customer hereby agrees and covenants to:</w:t>
      </w:r>
    </w:p>
    <w:p w14:paraId="0070966E" w14:textId="77777777" w:rsidR="006B0B4D" w:rsidRDefault="00000000">
      <w:pPr>
        <w:pStyle w:val="ListParagraph"/>
        <w:numPr>
          <w:ilvl w:val="0"/>
          <w:numId w:val="2"/>
        </w:numPr>
        <w:spacing w:before="40" w:after="80"/>
      </w:pPr>
      <w:r>
        <w:rPr>
          <w:color w:val="212121"/>
        </w:rPr>
        <w:t>Retain at least two (2) geographically and logically separate backup copies of the Configuration Hash in encrypted form, stored in systems with independent access controls, immediately upon Vault provisioning and at all times thereafter</w:t>
      </w:r>
    </w:p>
    <w:p w14:paraId="0070966F" w14:textId="77777777" w:rsidR="006B0B4D" w:rsidRDefault="00000000">
      <w:pPr>
        <w:pStyle w:val="ListParagraph"/>
        <w:numPr>
          <w:ilvl w:val="0"/>
          <w:numId w:val="2"/>
        </w:numPr>
        <w:spacing w:before="40" w:after="80"/>
      </w:pPr>
      <w:r>
        <w:rPr>
          <w:color w:val="212121"/>
        </w:rPr>
        <w:t>Test the integrity and accessibility of Configuration Hash backups no less frequently than quarterly</w:t>
      </w:r>
    </w:p>
    <w:p w14:paraId="00709670" w14:textId="77777777" w:rsidR="006B0B4D" w:rsidRDefault="00000000">
      <w:pPr>
        <w:pStyle w:val="ListParagraph"/>
        <w:numPr>
          <w:ilvl w:val="0"/>
          <w:numId w:val="2"/>
        </w:numPr>
        <w:spacing w:before="40" w:after="80"/>
      </w:pPr>
      <w:r>
        <w:rPr>
          <w:color w:val="212121"/>
        </w:rPr>
        <w:t>Restrict Configuration Hash access to a minimum set of authorized personnel commensurate with least-privilege principles</w:t>
      </w:r>
    </w:p>
    <w:p w14:paraId="00709671" w14:textId="77777777" w:rsidR="006B0B4D" w:rsidRDefault="00000000">
      <w:pPr>
        <w:pStyle w:val="ListParagraph"/>
        <w:numPr>
          <w:ilvl w:val="0"/>
          <w:numId w:val="2"/>
        </w:numPr>
        <w:spacing w:before="40" w:after="80"/>
      </w:pPr>
      <w:r>
        <w:rPr>
          <w:color w:val="212121"/>
        </w:rPr>
        <w:t>Maintain documented key custody procedures, including succession planning for personnel offboarding</w:t>
      </w:r>
    </w:p>
    <w:p w14:paraId="00709672" w14:textId="77777777" w:rsidR="006B0B4D" w:rsidRDefault="00000000">
      <w:pPr>
        <w:pStyle w:val="ListParagraph"/>
        <w:numPr>
          <w:ilvl w:val="0"/>
          <w:numId w:val="2"/>
        </w:numPr>
        <w:spacing w:before="40" w:after="80"/>
      </w:pPr>
      <w:r>
        <w:rPr>
          <w:color w:val="212121"/>
        </w:rPr>
        <w:t>Notify Huntoso within 24 hours of any actual or suspected unauthorized access to the Configuration Hash</w:t>
      </w:r>
    </w:p>
    <w:p w14:paraId="00709673" w14:textId="77777777" w:rsidR="006B0B4D" w:rsidRDefault="00000000">
      <w:pPr>
        <w:pStyle w:val="ListParagraph"/>
        <w:numPr>
          <w:ilvl w:val="0"/>
          <w:numId w:val="2"/>
        </w:numPr>
        <w:spacing w:before="40" w:after="80"/>
      </w:pPr>
      <w:r>
        <w:rPr>
          <w:color w:val="212121"/>
        </w:rPr>
        <w:t>Not rely on Huntoso's infrastructure as a Configuration Hash backup mechanism</w:t>
      </w:r>
    </w:p>
    <w:p w14:paraId="00709675" w14:textId="77777777" w:rsidR="006B0B4D" w:rsidRDefault="006B0B4D">
      <w:pPr>
        <w:spacing w:after="80"/>
      </w:pPr>
    </w:p>
    <w:p w14:paraId="00709676" w14:textId="77777777" w:rsidR="006B0B4D" w:rsidRDefault="00000000">
      <w:pPr>
        <w:pStyle w:val="Heading1"/>
      </w:pPr>
      <w:r>
        <w:t>4. Irrecoverable Data Loss: Express Disclosure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B0B4D" w14:paraId="0070967A" w14:textId="77777777">
        <w:tblPrEx>
          <w:tblCellMar>
            <w:top w:w="0" w:type="dxa"/>
            <w:bottom w:w="0" w:type="dxa"/>
          </w:tblCellMar>
        </w:tblPrEx>
        <w:tc>
          <w:tcPr>
            <w:tcW w:w="9360" w:type="dxa"/>
            <w:tcBorders>
              <w:top w:val="single" w:sz="6" w:space="0" w:color="C62828"/>
              <w:left w:val="single" w:sz="6" w:space="0" w:color="C62828"/>
              <w:bottom w:val="single" w:sz="6" w:space="0" w:color="C62828"/>
              <w:right w:val="single" w:sz="6" w:space="0" w:color="C62828"/>
            </w:tcBorders>
            <w:shd w:val="clear" w:color="auto" w:fill="FFF8E1"/>
            <w:tcMar>
              <w:top w:w="160" w:type="dxa"/>
              <w:left w:w="200" w:type="dxa"/>
              <w:bottom w:w="160" w:type="dxa"/>
              <w:right w:w="200" w:type="dxa"/>
            </w:tcMar>
          </w:tcPr>
          <w:p w14:paraId="00709677" w14:textId="77777777" w:rsidR="006B0B4D" w:rsidRDefault="00000000">
            <w:pPr>
              <w:spacing w:before="60" w:after="80"/>
            </w:pPr>
            <w:r>
              <w:rPr>
                <w:b/>
                <w:bCs/>
                <w:color w:val="B71C1C"/>
                <w:sz w:val="24"/>
                <w:szCs w:val="24"/>
              </w:rPr>
              <w:lastRenderedPageBreak/>
              <w:t>4.1 Absolute Irrecoverability</w:t>
            </w:r>
          </w:p>
          <w:p w14:paraId="00709678" w14:textId="7C496E4D" w:rsidR="006B0B4D" w:rsidRDefault="00000000">
            <w:pPr>
              <w:spacing w:after="80"/>
            </w:pPr>
            <w:r>
              <w:rPr>
                <w:b/>
                <w:bCs/>
                <w:color w:val="212121"/>
              </w:rPr>
              <w:t xml:space="preserve">CUSTOMER EXPRESSLY ACKNOWLEDGES AND AGREES THAT IN THE EVENT OF AN IRRECOVERABLE LOSS EVENT, ALL CUSTOMER </w:t>
            </w:r>
            <w:r w:rsidR="00DA5DEB">
              <w:rPr>
                <w:b/>
                <w:bCs/>
                <w:color w:val="212121"/>
              </w:rPr>
              <w:t>KEYS</w:t>
            </w:r>
            <w:r>
              <w:rPr>
                <w:b/>
                <w:bCs/>
                <w:color w:val="212121"/>
              </w:rPr>
              <w:t xml:space="preserve"> STORED WITHIN THE VAULT AT THE TIME OF SUCH EVENT WILL BE PERMANENTLY, IRREVOCABLY, AND COMPLETELY INACCESSIBLE. HUNTOSO WILL NOT, UNDER ANY CIRCUMSTANCES WHATSOEVER, BE ABLE TO RESTORE, RECONSTRUCT, DECRYPT, OR PRODUCE ANY CUSTOMER DATA FROM THE AFFECTED VAULT FOLLOWING AN IRRECOVERABLE LOSS EVENT.</w:t>
            </w:r>
          </w:p>
          <w:p w14:paraId="00709679" w14:textId="77777777" w:rsidR="006B0B4D" w:rsidRDefault="00000000">
            <w:pPr>
              <w:spacing w:after="60"/>
            </w:pPr>
            <w:r>
              <w:rPr>
                <w:color w:val="212121"/>
              </w:rPr>
              <w:t>This irrecoverability is absolute and is not subject to exception based on the payment of additional fees, legal process, technological advancement, or any other factor. There exists no technical pathway by which Vault data can be recovered absent a valid, unaltered Configuration Hash.</w:t>
            </w:r>
          </w:p>
        </w:tc>
      </w:tr>
    </w:tbl>
    <w:p w14:paraId="0070967B" w14:textId="77777777" w:rsidR="006B0B4D" w:rsidRDefault="006B0B4D">
      <w:pPr>
        <w:spacing w:after="140"/>
      </w:pPr>
    </w:p>
    <w:p w14:paraId="0070967C" w14:textId="77777777" w:rsidR="006B0B4D" w:rsidRDefault="00000000">
      <w:pPr>
        <w:pStyle w:val="Heading2"/>
      </w:pPr>
      <w:r>
        <w:t>4.2 Non-Exhaustive List of Irrecoverable Loss Events</w:t>
      </w:r>
    </w:p>
    <w:p w14:paraId="0070967D" w14:textId="77777777" w:rsidR="006B0B4D" w:rsidRDefault="00000000">
      <w:pPr>
        <w:spacing w:before="60" w:after="120"/>
      </w:pPr>
      <w:r>
        <w:rPr>
          <w:color w:val="212121"/>
        </w:rPr>
        <w:t>Without limiting the generality of Section 4.1, the following constitute Irrecoverable Loss Events under this Disclosure:</w:t>
      </w:r>
    </w:p>
    <w:p w14:paraId="0070967E" w14:textId="77777777" w:rsidR="006B0B4D" w:rsidRDefault="00000000">
      <w:pPr>
        <w:pStyle w:val="ListParagraph"/>
        <w:numPr>
          <w:ilvl w:val="0"/>
          <w:numId w:val="2"/>
        </w:numPr>
        <w:spacing w:before="40" w:after="80"/>
      </w:pPr>
      <w:r>
        <w:rPr>
          <w:color w:val="212121"/>
        </w:rPr>
        <w:t>Deletion, overwriting, or corruption of any copy of the Configuration Hash by Customer, its agents, employees, contractors, or any third party acting under Customer's authority</w:t>
      </w:r>
    </w:p>
    <w:p w14:paraId="0070967F" w14:textId="77777777" w:rsidR="006B0B4D" w:rsidRDefault="00000000">
      <w:pPr>
        <w:pStyle w:val="ListParagraph"/>
        <w:numPr>
          <w:ilvl w:val="0"/>
          <w:numId w:val="2"/>
        </w:numPr>
        <w:spacing w:before="40" w:after="80"/>
      </w:pPr>
      <w:r>
        <w:rPr>
          <w:color w:val="212121"/>
        </w:rPr>
        <w:t>Loss of access to storage media or systems on which the Configuration Hash is stored, including due to hardware failure, ransomware attack, physical destruction, or logical failure</w:t>
      </w:r>
    </w:p>
    <w:p w14:paraId="00709680" w14:textId="77777777" w:rsidR="006B0B4D" w:rsidRDefault="00000000">
      <w:pPr>
        <w:pStyle w:val="ListParagraph"/>
        <w:numPr>
          <w:ilvl w:val="0"/>
          <w:numId w:val="2"/>
        </w:numPr>
        <w:spacing w:before="40" w:after="80"/>
      </w:pPr>
      <w:r>
        <w:rPr>
          <w:color w:val="212121"/>
        </w:rPr>
        <w:t>Unauthorized modification of the Configuration Hash resulting in hash mismatch</w:t>
      </w:r>
    </w:p>
    <w:p w14:paraId="00709681" w14:textId="77777777" w:rsidR="006B0B4D" w:rsidRDefault="00000000">
      <w:pPr>
        <w:pStyle w:val="ListParagraph"/>
        <w:numPr>
          <w:ilvl w:val="0"/>
          <w:numId w:val="2"/>
        </w:numPr>
        <w:spacing w:before="40" w:after="80"/>
      </w:pPr>
      <w:r>
        <w:rPr>
          <w:color w:val="212121"/>
        </w:rPr>
        <w:t>Expiry or revocation of Azure Key Vault key material in conjunction with loss of the Configuration Hash</w:t>
      </w:r>
    </w:p>
    <w:p w14:paraId="00709682" w14:textId="77777777" w:rsidR="006B0B4D" w:rsidRDefault="00000000">
      <w:pPr>
        <w:pStyle w:val="ListParagraph"/>
        <w:numPr>
          <w:ilvl w:val="0"/>
          <w:numId w:val="2"/>
        </w:numPr>
        <w:spacing w:before="40" w:after="80"/>
      </w:pPr>
      <w:r>
        <w:rPr>
          <w:color w:val="212121"/>
        </w:rPr>
        <w:t>Migration of Vault data to a new infrastructure environment without prior Configuration Hash export and validation</w:t>
      </w:r>
    </w:p>
    <w:p w14:paraId="00709683" w14:textId="77777777" w:rsidR="006B0B4D" w:rsidRDefault="00000000">
      <w:pPr>
        <w:pStyle w:val="ListParagraph"/>
        <w:numPr>
          <w:ilvl w:val="0"/>
          <w:numId w:val="2"/>
        </w:numPr>
        <w:spacing w:before="40" w:after="80"/>
      </w:pPr>
      <w:r>
        <w:rPr>
          <w:color w:val="212121"/>
        </w:rPr>
        <w:t>Involuntary or voluntary termination of the Services prior to Customer completing a full plaintext export of Customer Data</w:t>
      </w:r>
    </w:p>
    <w:p w14:paraId="00709684" w14:textId="77777777" w:rsidR="006B0B4D" w:rsidRDefault="00000000">
      <w:pPr>
        <w:pStyle w:val="ListParagraph"/>
        <w:numPr>
          <w:ilvl w:val="0"/>
          <w:numId w:val="2"/>
        </w:numPr>
        <w:spacing w:before="40" w:after="80"/>
      </w:pPr>
      <w:r>
        <w:rPr>
          <w:color w:val="212121"/>
        </w:rPr>
        <w:t>Any act of Customer's personnel or contractors that results in Configuration Hash inaccessibility, whether intentional, negligent, or accidental</w:t>
      </w:r>
    </w:p>
    <w:p w14:paraId="00709685" w14:textId="77777777" w:rsidR="006B0B4D" w:rsidRDefault="006B0B4D">
      <w:pPr>
        <w:spacing w:after="80"/>
      </w:pPr>
    </w:p>
    <w:p w14:paraId="00709686" w14:textId="77777777" w:rsidR="006B0B4D" w:rsidRDefault="00000000">
      <w:pPr>
        <w:pStyle w:val="Heading2"/>
      </w:pPr>
      <w:r>
        <w:t>4.3 No Obligation to Attempt Recovery</w:t>
      </w:r>
    </w:p>
    <w:p w14:paraId="00709687" w14:textId="77777777" w:rsidR="006B0B4D" w:rsidRDefault="00000000">
      <w:pPr>
        <w:spacing w:before="60" w:after="120"/>
      </w:pPr>
      <w:r>
        <w:rPr>
          <w:color w:val="212121"/>
        </w:rPr>
        <w:t>Huntoso shall have no obligation to attempt, simulate, or represent that recovery of Customer Data is possible following an Irrecoverable Loss Event. Huntoso shall have no obligation to engage third-party forensic services, key recovery specialists, or any other resource in an attempt to recover Customer Data. Customer acknowledges that any such engagement would be futile and that Customer waives any claim against Huntoso arising from Huntoso's failure to attempt recovery.</w:t>
      </w:r>
    </w:p>
    <w:p w14:paraId="00709688" w14:textId="77777777" w:rsidR="006B0B4D" w:rsidRDefault="006B0B4D">
      <w:pPr>
        <w:spacing w:after="80"/>
      </w:pPr>
    </w:p>
    <w:p w14:paraId="00709689" w14:textId="77777777" w:rsidR="006B0B4D" w:rsidRDefault="00000000">
      <w:pPr>
        <w:pStyle w:val="Heading1"/>
      </w:pPr>
      <w:r>
        <w:t>5. Limitation of Liability and Indemnification</w:t>
      </w:r>
    </w:p>
    <w:p w14:paraId="0070968A" w14:textId="77777777" w:rsidR="006B0B4D" w:rsidRDefault="00000000">
      <w:pPr>
        <w:pStyle w:val="Heading2"/>
      </w:pPr>
      <w:r>
        <w:lastRenderedPageBreak/>
        <w:t>5.1 Complete Exclusion of Liability for Irrecoverable Loss Events</w:t>
      </w:r>
    </w:p>
    <w:p w14:paraId="0070968B" w14:textId="77777777" w:rsidR="006B0B4D" w:rsidRDefault="00000000">
      <w:pPr>
        <w:spacing w:before="60" w:after="120"/>
      </w:pPr>
      <w:r>
        <w:rPr>
          <w:b/>
          <w:bCs/>
          <w:color w:val="212121"/>
        </w:rPr>
        <w:t>TO THE MAXIMUM EXTENT PERMITTED BY APPLICABLE LAW, HUNTOSO SHALL HAVE NO LIABILITY WHATSOEVER, INCLUDING LIABILITY IN CONTRACT, TORT (INCLUDING NEGLIGENCE AND STRICT LIABILITY), STATUTE, EQUITY, OR OTHERWISE, FOR ANY LOSS, DAMAGE, COST, OR EXPENSE OF ANY KIND ARISING DIRECTLY OR INDIRECTLY FROM AN IRRECOVERABLE LOSS EVENT. THIS EXCLUSION APPLIES REGARDLESS OF WHETHER HUNTOSO WAS ADVISED OF THE POSSIBILITY OF SUCH LOSS OR DAMAGE.</w:t>
      </w:r>
    </w:p>
    <w:p w14:paraId="0070968C" w14:textId="77777777" w:rsidR="006B0B4D" w:rsidRDefault="00000000">
      <w:pPr>
        <w:pStyle w:val="Heading2"/>
      </w:pPr>
      <w:r>
        <w:t>5.2 Specific Excluded Damages</w:t>
      </w:r>
    </w:p>
    <w:p w14:paraId="0070968D" w14:textId="77777777" w:rsidR="006B0B4D" w:rsidRDefault="00000000">
      <w:pPr>
        <w:spacing w:before="60" w:after="120"/>
      </w:pPr>
      <w:r>
        <w:rPr>
          <w:color w:val="212121"/>
        </w:rPr>
        <w:t>Without limiting Section 5.1, excluded damages include, without limitation:</w:t>
      </w:r>
    </w:p>
    <w:p w14:paraId="0070968E" w14:textId="77777777" w:rsidR="006B0B4D" w:rsidRDefault="00000000">
      <w:pPr>
        <w:pStyle w:val="ListParagraph"/>
        <w:numPr>
          <w:ilvl w:val="0"/>
          <w:numId w:val="2"/>
        </w:numPr>
        <w:spacing w:before="40" w:after="80"/>
      </w:pPr>
      <w:r>
        <w:rPr>
          <w:color w:val="212121"/>
        </w:rPr>
        <w:t>Loss of business revenue, profits, or commercial opportunity attributable to inability to access the Vault</w:t>
      </w:r>
    </w:p>
    <w:p w14:paraId="0070968F" w14:textId="77777777" w:rsidR="006B0B4D" w:rsidRDefault="00000000">
      <w:pPr>
        <w:pStyle w:val="ListParagraph"/>
        <w:numPr>
          <w:ilvl w:val="0"/>
          <w:numId w:val="2"/>
        </w:numPr>
        <w:spacing w:before="40" w:after="80"/>
      </w:pPr>
      <w:r>
        <w:rPr>
          <w:color w:val="212121"/>
        </w:rPr>
        <w:t>Costs of reconstructing, re-entering, or re-creating Customer Data</w:t>
      </w:r>
    </w:p>
    <w:p w14:paraId="00709690" w14:textId="77777777" w:rsidR="006B0B4D" w:rsidRDefault="00000000">
      <w:pPr>
        <w:pStyle w:val="ListParagraph"/>
        <w:numPr>
          <w:ilvl w:val="0"/>
          <w:numId w:val="2"/>
        </w:numPr>
        <w:spacing w:before="40" w:after="80"/>
      </w:pPr>
      <w:r>
        <w:rPr>
          <w:color w:val="212121"/>
        </w:rPr>
        <w:t>Costs associated with resetting or replacing credentials stored in the Vault</w:t>
      </w:r>
    </w:p>
    <w:p w14:paraId="00709691" w14:textId="77777777" w:rsidR="006B0B4D" w:rsidRDefault="00000000">
      <w:pPr>
        <w:pStyle w:val="ListParagraph"/>
        <w:numPr>
          <w:ilvl w:val="0"/>
          <w:numId w:val="2"/>
        </w:numPr>
        <w:spacing w:before="40" w:after="80"/>
      </w:pPr>
      <w:r>
        <w:rPr>
          <w:color w:val="212121"/>
        </w:rPr>
        <w:t>Regulatory fines, penalties, or enforcement actions resulting from unauthorized access to accounts whose credentials were stored in the Vault and became inaccessible</w:t>
      </w:r>
    </w:p>
    <w:p w14:paraId="00709692" w14:textId="77777777" w:rsidR="006B0B4D" w:rsidRDefault="00000000">
      <w:pPr>
        <w:pStyle w:val="ListParagraph"/>
        <w:numPr>
          <w:ilvl w:val="0"/>
          <w:numId w:val="2"/>
        </w:numPr>
        <w:spacing w:before="40" w:after="80"/>
      </w:pPr>
      <w:r>
        <w:rPr>
          <w:color w:val="212121"/>
        </w:rPr>
        <w:t>Third-party claims arising from Customer's inability to perform contractual obligations due to an Irrecoverable Loss Event</w:t>
      </w:r>
    </w:p>
    <w:p w14:paraId="00709693" w14:textId="77777777" w:rsidR="006B0B4D" w:rsidRDefault="00000000">
      <w:pPr>
        <w:pStyle w:val="ListParagraph"/>
        <w:numPr>
          <w:ilvl w:val="0"/>
          <w:numId w:val="2"/>
        </w:numPr>
        <w:spacing w:before="40" w:after="80"/>
      </w:pPr>
      <w:r>
        <w:rPr>
          <w:color w:val="212121"/>
        </w:rPr>
        <w:t>Reputational harm or diminution of goodwill</w:t>
      </w:r>
    </w:p>
    <w:p w14:paraId="00709694" w14:textId="77777777" w:rsidR="006B0B4D" w:rsidRDefault="00000000">
      <w:pPr>
        <w:pStyle w:val="ListParagraph"/>
        <w:numPr>
          <w:ilvl w:val="0"/>
          <w:numId w:val="2"/>
        </w:numPr>
        <w:spacing w:before="40" w:after="80"/>
      </w:pPr>
      <w:r>
        <w:rPr>
          <w:color w:val="212121"/>
        </w:rPr>
        <w:t>Consequential, indirect, special, incidental, or punitive damages of any nature</w:t>
      </w:r>
    </w:p>
    <w:p w14:paraId="00709695" w14:textId="77777777" w:rsidR="006B0B4D" w:rsidRDefault="006B0B4D">
      <w:pPr>
        <w:spacing w:after="80"/>
      </w:pPr>
    </w:p>
    <w:p w14:paraId="00709696" w14:textId="77777777" w:rsidR="006B0B4D" w:rsidRDefault="00000000">
      <w:pPr>
        <w:pStyle w:val="Heading2"/>
      </w:pPr>
      <w:r>
        <w:t>5.3 Customer Indemnification</w:t>
      </w:r>
    </w:p>
    <w:p w14:paraId="00709697" w14:textId="77777777" w:rsidR="006B0B4D" w:rsidRDefault="00000000">
      <w:pPr>
        <w:spacing w:before="60" w:after="120"/>
      </w:pPr>
      <w:r>
        <w:rPr>
          <w:color w:val="212121"/>
        </w:rPr>
        <w:t>Customer shall indemnify, defend, and hold harmless Huntoso, its members, managers, officers, employees, agents, and successors from and against any and all claims, damages, losses, costs, and expenses (including reasonable attorneys' fees) arising out of or relating to: (a) any Irrecoverable Loss Event caused by Customer's failure to perform its obligations under Section 3.2; (b) any third-party claims arising from Customer's inability to access Customer Data following an Irrecoverable Loss Event; or (c) Customer's breach of any representation, warranty, or covenant contained in this Disclosure.</w:t>
      </w:r>
    </w:p>
    <w:p w14:paraId="00709698" w14:textId="77777777" w:rsidR="006B0B4D" w:rsidRDefault="006B0B4D">
      <w:pPr>
        <w:spacing w:after="80"/>
      </w:pPr>
    </w:p>
    <w:p w14:paraId="00709699" w14:textId="77777777" w:rsidR="006B0B4D" w:rsidRDefault="00000000">
      <w:pPr>
        <w:pStyle w:val="Heading2"/>
      </w:pPr>
      <w:r>
        <w:t>5.4 Basis of Bargain</w:t>
      </w:r>
    </w:p>
    <w:p w14:paraId="0070969A" w14:textId="77777777" w:rsidR="006B0B4D" w:rsidRDefault="00000000">
      <w:pPr>
        <w:spacing w:before="60" w:after="120"/>
      </w:pPr>
      <w:r>
        <w:rPr>
          <w:color w:val="212121"/>
        </w:rPr>
        <w:t>Customer acknowledges and agrees that the limitations of liability set forth in this Section 5 reflect a reasonable allocation of risk between the parties and are a fundamental element of the basis of the bargain between the parties. Huntoso would not have entered into the Agreement absent these limitations.</w:t>
      </w:r>
    </w:p>
    <w:p w14:paraId="0070969B" w14:textId="77777777" w:rsidR="006B0B4D" w:rsidRDefault="006B0B4D">
      <w:pPr>
        <w:spacing w:after="80"/>
      </w:pPr>
    </w:p>
    <w:p w14:paraId="0070969C" w14:textId="77777777" w:rsidR="006B0B4D" w:rsidRDefault="00000000">
      <w:pPr>
        <w:pStyle w:val="Heading1"/>
      </w:pPr>
      <w:r>
        <w:t>6. Customer Representations and Warranties</w:t>
      </w:r>
    </w:p>
    <w:p w14:paraId="0070969D" w14:textId="77777777" w:rsidR="006B0B4D" w:rsidRDefault="00000000">
      <w:pPr>
        <w:spacing w:before="60" w:after="120"/>
      </w:pPr>
      <w:r>
        <w:rPr>
          <w:color w:val="212121"/>
        </w:rPr>
        <w:t>Customer represents and warrants to Huntoso as of the date of the Agreement and as of the date of each Vault provisioning event that:</w:t>
      </w:r>
    </w:p>
    <w:p w14:paraId="0070969E" w14:textId="77777777" w:rsidR="006B0B4D" w:rsidRDefault="00000000">
      <w:pPr>
        <w:spacing w:before="60" w:after="100"/>
        <w:ind w:left="640" w:hanging="360"/>
      </w:pPr>
      <w:r>
        <w:rPr>
          <w:b/>
          <w:bCs/>
          <w:color w:val="212121"/>
        </w:rPr>
        <w:lastRenderedPageBreak/>
        <w:t>6.1.</w:t>
      </w:r>
      <w:r>
        <w:rPr>
          <w:b/>
          <w:bCs/>
          <w:color w:val="212121"/>
        </w:rPr>
        <w:tab/>
      </w:r>
      <w:r>
        <w:rPr>
          <w:color w:val="212121"/>
        </w:rPr>
        <w:t>Customer has the full legal authority to enter into the Agreement and this Disclosure on behalf of the entity identified as Customer;</w:t>
      </w:r>
    </w:p>
    <w:p w14:paraId="0070969F" w14:textId="77777777" w:rsidR="006B0B4D" w:rsidRDefault="00000000">
      <w:pPr>
        <w:spacing w:before="60" w:after="100"/>
        <w:ind w:left="640" w:hanging="360"/>
      </w:pPr>
      <w:r>
        <w:rPr>
          <w:b/>
          <w:bCs/>
          <w:color w:val="212121"/>
        </w:rPr>
        <w:t>6.2.</w:t>
      </w:r>
      <w:r>
        <w:rPr>
          <w:b/>
          <w:bCs/>
          <w:color w:val="212121"/>
        </w:rPr>
        <w:tab/>
      </w:r>
      <w:r>
        <w:rPr>
          <w:color w:val="212121"/>
        </w:rPr>
        <w:t>Customer has read, understood, and had the opportunity to seek independent legal counsel with respect to this Disclosure;</w:t>
      </w:r>
    </w:p>
    <w:p w14:paraId="007096A0" w14:textId="77777777" w:rsidR="006B0B4D" w:rsidRDefault="00000000">
      <w:pPr>
        <w:spacing w:before="60" w:after="100"/>
        <w:ind w:left="640" w:hanging="360"/>
      </w:pPr>
      <w:r>
        <w:rPr>
          <w:b/>
          <w:bCs/>
          <w:color w:val="212121"/>
        </w:rPr>
        <w:t>6.3.</w:t>
      </w:r>
      <w:r>
        <w:rPr>
          <w:b/>
          <w:bCs/>
          <w:color w:val="212121"/>
        </w:rPr>
        <w:tab/>
      </w:r>
      <w:r>
        <w:rPr>
          <w:color w:val="212121"/>
        </w:rPr>
        <w:t>Customer's acceptance of this Disclosure was not induced by any representation, warranty, or guarantee by Huntoso or its agents that conflicts with the terms herein;</w:t>
      </w:r>
    </w:p>
    <w:p w14:paraId="007096A1" w14:textId="77777777" w:rsidR="006B0B4D" w:rsidRDefault="00000000">
      <w:pPr>
        <w:spacing w:before="60" w:after="100"/>
        <w:ind w:left="640" w:hanging="360"/>
      </w:pPr>
      <w:r>
        <w:rPr>
          <w:b/>
          <w:bCs/>
          <w:color w:val="212121"/>
        </w:rPr>
        <w:t>6.4.</w:t>
      </w:r>
      <w:r>
        <w:rPr>
          <w:b/>
          <w:bCs/>
          <w:color w:val="212121"/>
        </w:rPr>
        <w:tab/>
      </w:r>
      <w:r>
        <w:rPr>
          <w:color w:val="212121"/>
        </w:rPr>
        <w:t>Customer has implemented or will implement, prior to activating the Vault, a documented Configuration Hash backup and custody procedure that satisfies the requirements of Section 3.2;</w:t>
      </w:r>
    </w:p>
    <w:p w14:paraId="007096A2" w14:textId="77777777" w:rsidR="006B0B4D" w:rsidRDefault="00000000">
      <w:pPr>
        <w:spacing w:before="60" w:after="100"/>
        <w:ind w:left="640" w:hanging="360"/>
      </w:pPr>
      <w:r>
        <w:rPr>
          <w:b/>
          <w:bCs/>
          <w:color w:val="212121"/>
        </w:rPr>
        <w:t>6.5.</w:t>
      </w:r>
      <w:r>
        <w:rPr>
          <w:b/>
          <w:bCs/>
          <w:color w:val="212121"/>
        </w:rPr>
        <w:tab/>
      </w:r>
      <w:r>
        <w:rPr>
          <w:color w:val="212121"/>
        </w:rPr>
        <w:t>Customer's data management policies and disaster recovery plans account for the possibility of an Irrecoverable Loss Event;</w:t>
      </w:r>
    </w:p>
    <w:p w14:paraId="007096A3" w14:textId="77777777" w:rsidR="006B0B4D" w:rsidRDefault="00000000">
      <w:pPr>
        <w:spacing w:before="60" w:after="100"/>
        <w:ind w:left="640" w:hanging="360"/>
      </w:pPr>
      <w:r>
        <w:rPr>
          <w:b/>
          <w:bCs/>
          <w:color w:val="212121"/>
        </w:rPr>
        <w:t>6.6.</w:t>
      </w:r>
      <w:r>
        <w:rPr>
          <w:b/>
          <w:bCs/>
          <w:color w:val="212121"/>
        </w:rPr>
        <w:tab/>
      </w:r>
      <w:r>
        <w:rPr>
          <w:color w:val="212121"/>
        </w:rPr>
        <w:t>Customer has reviewed its applicable cyber insurance policies and understands that coverage for irrecoverable data loss due to encryption key loss may not be provided under its current policies.</w:t>
      </w:r>
    </w:p>
    <w:p w14:paraId="007096A4" w14:textId="77777777" w:rsidR="006B0B4D" w:rsidRDefault="006B0B4D">
      <w:pPr>
        <w:spacing w:after="80"/>
      </w:pPr>
    </w:p>
    <w:p w14:paraId="007096A5" w14:textId="77777777" w:rsidR="006B0B4D" w:rsidRDefault="00000000">
      <w:pPr>
        <w:pStyle w:val="Heading1"/>
      </w:pPr>
      <w:r>
        <w:t>7. Governing Law and Dispute Resolution</w:t>
      </w:r>
    </w:p>
    <w:p w14:paraId="007096A6" w14:textId="77777777" w:rsidR="006B0B4D" w:rsidRDefault="00000000">
      <w:pPr>
        <w:pStyle w:val="Heading2"/>
      </w:pPr>
      <w:r>
        <w:t>7.1 Governing Law</w:t>
      </w:r>
    </w:p>
    <w:p w14:paraId="007096A7" w14:textId="77777777" w:rsidR="006B0B4D" w:rsidRDefault="00000000">
      <w:pPr>
        <w:spacing w:before="60" w:after="120"/>
      </w:pPr>
      <w:r>
        <w:rPr>
          <w:color w:val="212121"/>
        </w:rPr>
        <w:t>This Disclosure shall be governed by and construed in accordance with the laws of the State of Delaware, without regard to its conflict of law principles.</w:t>
      </w:r>
    </w:p>
    <w:p w14:paraId="007096A8" w14:textId="77777777" w:rsidR="006B0B4D" w:rsidRDefault="00000000">
      <w:pPr>
        <w:pStyle w:val="Heading2"/>
      </w:pPr>
      <w:r>
        <w:t>7.2 Dispute Resolution</w:t>
      </w:r>
    </w:p>
    <w:p w14:paraId="007096A9" w14:textId="77777777" w:rsidR="006B0B4D" w:rsidRDefault="00000000">
      <w:pPr>
        <w:spacing w:before="60" w:after="120"/>
      </w:pPr>
      <w:r>
        <w:rPr>
          <w:color w:val="212121"/>
        </w:rPr>
        <w:t>Any dispute arising out of or relating to this Disclosure shall be resolved in accordance with the dispute resolution provisions of the Master Subscription Agreement, including any mandatory arbitration clause contained therein.</w:t>
      </w:r>
    </w:p>
    <w:p w14:paraId="007096AA" w14:textId="77777777" w:rsidR="006B0B4D" w:rsidRDefault="00000000">
      <w:pPr>
        <w:pStyle w:val="Heading2"/>
      </w:pPr>
      <w:r>
        <w:t>7.3 Severability</w:t>
      </w:r>
    </w:p>
    <w:p w14:paraId="007096AB" w14:textId="77777777" w:rsidR="006B0B4D" w:rsidRDefault="00000000">
      <w:pPr>
        <w:spacing w:before="60" w:after="120"/>
      </w:pPr>
      <w:r>
        <w:rPr>
          <w:color w:val="212121"/>
        </w:rPr>
        <w:t>If any provision of this Disclosure is found to be unenforceable, such provision shall be modified to the minimum extent necessary to render it enforceable, and the remaining provisions shall remain in full force and effect.</w:t>
      </w:r>
    </w:p>
    <w:p w14:paraId="007096AC" w14:textId="77777777" w:rsidR="006B0B4D" w:rsidRDefault="00000000">
      <w:pPr>
        <w:pStyle w:val="Heading2"/>
      </w:pPr>
      <w:r>
        <w:t>7.4 Integration</w:t>
      </w:r>
    </w:p>
    <w:p w14:paraId="007096AD" w14:textId="77777777" w:rsidR="006B0B4D" w:rsidRDefault="00000000">
      <w:pPr>
        <w:spacing w:before="60" w:after="120"/>
      </w:pPr>
      <w:r>
        <w:rPr>
          <w:color w:val="212121"/>
        </w:rPr>
        <w:t>This Disclosure, together with the Master Subscription Agreement and any other exhibits thereto, constitutes the entire agreement between the parties with respect to the subject matter hereof and supersedes all prior or contemporaneous representations, warranties, understandings, or agreements relating thereto.</w:t>
      </w:r>
    </w:p>
    <w:p w14:paraId="007096AE" w14:textId="77777777" w:rsidR="006B0B4D" w:rsidRDefault="006B0B4D">
      <w:pPr>
        <w:spacing w:after="80"/>
      </w:pPr>
    </w:p>
    <w:p w14:paraId="007096AF" w14:textId="77777777" w:rsidR="006B0B4D" w:rsidRDefault="00000000">
      <w:pPr>
        <w:pStyle w:val="Heading1"/>
      </w:pPr>
      <w:r>
        <w:t>8. Mandatory Display Requirements</w:t>
      </w:r>
    </w:p>
    <w:p w14:paraId="007096B0" w14:textId="77777777" w:rsidR="006B0B4D" w:rsidRDefault="00000000">
      <w:pPr>
        <w:spacing w:before="60" w:after="120"/>
      </w:pPr>
      <w:r>
        <w:rPr>
          <w:color w:val="212121"/>
        </w:rPr>
        <w:t>Huntoso shall display this Disclosure or a materially equivalent notice at the following mandatory touchpoints in Customer's onboarding and checkout flow:</w:t>
      </w:r>
    </w:p>
    <w:p w14:paraId="007096B1" w14:textId="77777777" w:rsidR="006B0B4D" w:rsidRDefault="00000000">
      <w:pPr>
        <w:pStyle w:val="ListParagraph"/>
        <w:numPr>
          <w:ilvl w:val="0"/>
          <w:numId w:val="2"/>
        </w:numPr>
        <w:spacing w:before="40" w:after="80"/>
      </w:pPr>
      <w:r>
        <w:rPr>
          <w:color w:val="212121"/>
        </w:rPr>
        <w:t>Immediately prior to order confirmation and payment processing during account signup</w:t>
      </w:r>
    </w:p>
    <w:p w14:paraId="007096B2" w14:textId="77777777" w:rsidR="006B0B4D" w:rsidRDefault="00000000">
      <w:pPr>
        <w:pStyle w:val="ListParagraph"/>
        <w:numPr>
          <w:ilvl w:val="0"/>
          <w:numId w:val="2"/>
        </w:numPr>
        <w:spacing w:before="40" w:after="80"/>
      </w:pPr>
      <w:r>
        <w:rPr>
          <w:color w:val="212121"/>
        </w:rPr>
        <w:lastRenderedPageBreak/>
        <w:t>During the initial Vault provisioning wizard, at the step at which the Configuration Hash is transmitted to Customer, with a mandatory affirmative acknowledgment requirement before the provisioning step can be completed</w:t>
      </w:r>
    </w:p>
    <w:p w14:paraId="007096B3" w14:textId="77777777" w:rsidR="006B0B4D" w:rsidRDefault="00000000">
      <w:pPr>
        <w:pStyle w:val="ListParagraph"/>
        <w:numPr>
          <w:ilvl w:val="0"/>
          <w:numId w:val="2"/>
        </w:numPr>
        <w:spacing w:before="40" w:after="80"/>
      </w:pPr>
      <w:r>
        <w:rPr>
          <w:color w:val="212121"/>
        </w:rPr>
        <w:t>Upon any request by Customer to provision additional Vault instances</w:t>
      </w:r>
    </w:p>
    <w:p w14:paraId="007096B4" w14:textId="77777777" w:rsidR="006B0B4D" w:rsidRDefault="00000000">
      <w:pPr>
        <w:pStyle w:val="ListParagraph"/>
        <w:numPr>
          <w:ilvl w:val="0"/>
          <w:numId w:val="2"/>
        </w:numPr>
        <w:spacing w:before="40" w:after="80"/>
      </w:pPr>
      <w:r>
        <w:rPr>
          <w:color w:val="212121"/>
        </w:rPr>
        <w:t>Upon Customer's request at any time through the platform's legal documentation repository</w:t>
      </w:r>
    </w:p>
    <w:p w14:paraId="007096B5" w14:textId="77777777" w:rsidR="006B0B4D" w:rsidRDefault="006B0B4D">
      <w:pPr>
        <w:spacing w:after="80"/>
      </w:pPr>
    </w:p>
    <w:p w14:paraId="007096B6" w14:textId="77777777" w:rsidR="006B0B4D" w:rsidRDefault="00000000">
      <w:r>
        <w:br w:type="page"/>
      </w:r>
    </w:p>
    <w:p w14:paraId="007096B7" w14:textId="77777777" w:rsidR="006B0B4D" w:rsidRDefault="00000000">
      <w:pPr>
        <w:pStyle w:val="Heading1"/>
      </w:pPr>
      <w:r>
        <w:lastRenderedPageBreak/>
        <w:t>9. Acknowledgment of Receipt and Agreement</w:t>
      </w:r>
    </w:p>
    <w:p w14:paraId="007096B8" w14:textId="77777777" w:rsidR="006B0B4D" w:rsidRDefault="00000000">
      <w:pPr>
        <w:spacing w:before="60" w:after="120"/>
      </w:pPr>
      <w:r>
        <w:rPr>
          <w:b/>
          <w:bCs/>
          <w:color w:val="212121"/>
        </w:rPr>
        <w:t>BY EXECUTING THIS DISCLOSURE BELOW (OR, IN THE CASE OF ELECTRONIC ACCEPTANCE, BY CLICKING 'I AGREE' OR 'ACCEPT' DURING THE CHECKOUT OR VAULT PROVISIONING FLOW), CUSTOMER ACKNOWLEDGES THAT:</w:t>
      </w:r>
    </w:p>
    <w:p w14:paraId="007096B9" w14:textId="77777777" w:rsidR="006B0B4D" w:rsidRDefault="006B0B4D">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B0B4D" w14:paraId="007096C0" w14:textId="77777777">
        <w:tblPrEx>
          <w:tblCellMar>
            <w:top w:w="0" w:type="dxa"/>
            <w:bottom w:w="0" w:type="dxa"/>
          </w:tblCellMar>
        </w:tblPrEx>
        <w:tc>
          <w:tcPr>
            <w:tcW w:w="9360" w:type="dxa"/>
            <w:tcBorders>
              <w:top w:val="single" w:sz="6" w:space="0" w:color="3949AB"/>
              <w:left w:val="single" w:sz="6" w:space="0" w:color="3949AB"/>
              <w:bottom w:val="single" w:sz="6" w:space="0" w:color="3949AB"/>
              <w:right w:val="single" w:sz="6" w:space="0" w:color="3949AB"/>
            </w:tcBorders>
            <w:shd w:val="clear" w:color="auto" w:fill="E8EAF6"/>
            <w:tcMar>
              <w:top w:w="160" w:type="dxa"/>
              <w:left w:w="200" w:type="dxa"/>
              <w:bottom w:w="160" w:type="dxa"/>
              <w:right w:w="200" w:type="dxa"/>
            </w:tcMar>
          </w:tcPr>
          <w:p w14:paraId="007096BA" w14:textId="77777777" w:rsidR="006B0B4D" w:rsidRDefault="00000000">
            <w:pPr>
              <w:spacing w:before="60" w:after="100"/>
              <w:ind w:left="640" w:hanging="360"/>
            </w:pPr>
            <w:r>
              <w:rPr>
                <w:b/>
                <w:bCs/>
                <w:color w:val="212121"/>
              </w:rPr>
              <w:t>(a).</w:t>
            </w:r>
            <w:r>
              <w:rPr>
                <w:b/>
                <w:bCs/>
                <w:color w:val="212121"/>
              </w:rPr>
              <w:tab/>
            </w:r>
            <w:r>
              <w:rPr>
                <w:color w:val="212121"/>
              </w:rPr>
              <w:t>Customer has received, read in its entirety, and understands this Shared Responsibility and Irrecoverable Data Loss Disclosure;</w:t>
            </w:r>
          </w:p>
          <w:p w14:paraId="007096BB" w14:textId="77777777" w:rsidR="006B0B4D" w:rsidRDefault="00000000">
            <w:pPr>
              <w:spacing w:before="60" w:after="100"/>
              <w:ind w:left="640" w:hanging="360"/>
            </w:pPr>
            <w:r>
              <w:rPr>
                <w:b/>
                <w:bCs/>
                <w:color w:val="212121"/>
              </w:rPr>
              <w:t>(b).</w:t>
            </w:r>
            <w:r>
              <w:rPr>
                <w:b/>
                <w:bCs/>
                <w:color w:val="212121"/>
              </w:rPr>
              <w:tab/>
            </w:r>
            <w:r>
              <w:rPr>
                <w:color w:val="212121"/>
              </w:rPr>
              <w:t>Customer understands and accepts the absolute and unconditional nature of the irrecoverability described in Section 4.1;</w:t>
            </w:r>
          </w:p>
          <w:p w14:paraId="007096BC" w14:textId="77777777" w:rsidR="006B0B4D" w:rsidRDefault="00000000">
            <w:pPr>
              <w:spacing w:before="60" w:after="100"/>
              <w:ind w:left="640" w:hanging="360"/>
            </w:pPr>
            <w:r>
              <w:rPr>
                <w:b/>
                <w:bCs/>
                <w:color w:val="212121"/>
              </w:rPr>
              <w:t>(c).</w:t>
            </w:r>
            <w:r>
              <w:rPr>
                <w:b/>
                <w:bCs/>
                <w:color w:val="212121"/>
              </w:rPr>
              <w:tab/>
            </w:r>
            <w:r>
              <w:rPr>
                <w:color w:val="212121"/>
              </w:rPr>
              <w:t>Customer agrees to implement and maintain the Configuration Hash backup and custody obligations set forth in Section 3.2;</w:t>
            </w:r>
          </w:p>
          <w:p w14:paraId="007096BD" w14:textId="77777777" w:rsidR="006B0B4D" w:rsidRDefault="00000000">
            <w:pPr>
              <w:spacing w:before="60" w:after="100"/>
              <w:ind w:left="640" w:hanging="360"/>
            </w:pPr>
            <w:r>
              <w:rPr>
                <w:b/>
                <w:bCs/>
                <w:color w:val="212121"/>
              </w:rPr>
              <w:t>(d).</w:t>
            </w:r>
            <w:r>
              <w:rPr>
                <w:b/>
                <w:bCs/>
                <w:color w:val="212121"/>
              </w:rPr>
              <w:tab/>
            </w:r>
            <w:r>
              <w:rPr>
                <w:color w:val="212121"/>
              </w:rPr>
              <w:t>Customer accepts the limitation of liability and exclusion of damages set forth in Section 5 as a material term of its agreement with Huntoso;</w:t>
            </w:r>
          </w:p>
          <w:p w14:paraId="007096BE" w14:textId="77777777" w:rsidR="006B0B4D" w:rsidRDefault="00000000">
            <w:pPr>
              <w:spacing w:before="60" w:after="100"/>
              <w:ind w:left="640" w:hanging="360"/>
            </w:pPr>
            <w:r>
              <w:rPr>
                <w:b/>
                <w:bCs/>
                <w:color w:val="212121"/>
              </w:rPr>
              <w:t>(e).</w:t>
            </w:r>
            <w:r>
              <w:rPr>
                <w:b/>
                <w:bCs/>
                <w:color w:val="212121"/>
              </w:rPr>
              <w:tab/>
            </w:r>
            <w:r>
              <w:rPr>
                <w:color w:val="212121"/>
              </w:rPr>
              <w:t>Customer's acceptance of this Disclosure is a condition precedent to Huntoso's obligation to provide the Services; and</w:t>
            </w:r>
          </w:p>
          <w:p w14:paraId="007096BF" w14:textId="77777777" w:rsidR="006B0B4D" w:rsidRDefault="00000000">
            <w:pPr>
              <w:spacing w:before="60" w:after="100"/>
              <w:ind w:left="640" w:hanging="360"/>
            </w:pPr>
            <w:r>
              <w:rPr>
                <w:b/>
                <w:bCs/>
                <w:color w:val="212121"/>
              </w:rPr>
              <w:t>(f).</w:t>
            </w:r>
            <w:r>
              <w:rPr>
                <w:b/>
                <w:bCs/>
                <w:color w:val="212121"/>
              </w:rPr>
              <w:tab/>
            </w:r>
            <w:r>
              <w:rPr>
                <w:color w:val="212121"/>
              </w:rPr>
              <w:t>This Disclosure is incorporated by reference into and forms an exhibit to the Master Subscription Agreement with the same force and effect as if set forth therein in full.</w:t>
            </w:r>
          </w:p>
        </w:tc>
      </w:tr>
    </w:tbl>
    <w:p w14:paraId="007096C1" w14:textId="77777777" w:rsidR="006B0B4D" w:rsidRDefault="006B0B4D">
      <w:pPr>
        <w:spacing w:after="200"/>
      </w:pPr>
    </w:p>
    <w:p w14:paraId="007096C2" w14:textId="77777777" w:rsidR="006B0B4D" w:rsidRDefault="00000000">
      <w:pPr>
        <w:pStyle w:val="Heading2"/>
      </w:pPr>
      <w:r>
        <w:t>Authorized Signatory — Customer</w:t>
      </w:r>
    </w:p>
    <w:p w14:paraId="007096C3" w14:textId="77777777" w:rsidR="006B0B4D" w:rsidRDefault="00000000">
      <w:pPr>
        <w:spacing w:before="60" w:after="120"/>
      </w:pPr>
      <w:r>
        <w:rPr>
          <w:color w:val="212121"/>
        </w:rPr>
        <w:t>(For electronic acceptance: acknowledged and agreed as of the date of checkout confirmation or vault provisioning, as applicable)</w:t>
      </w:r>
    </w:p>
    <w:p w14:paraId="007096C4" w14:textId="77777777" w:rsidR="006B0B4D" w:rsidRDefault="006B0B4D">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4800"/>
      </w:tblGrid>
      <w:tr w:rsidR="006B0B4D" w14:paraId="007096D5" w14:textId="77777777">
        <w:tblPrEx>
          <w:tblCellMar>
            <w:top w:w="0" w:type="dxa"/>
            <w:bottom w:w="0" w:type="dxa"/>
          </w:tblCellMar>
        </w:tblPrEx>
        <w:tc>
          <w:tcPr>
            <w:tcW w:w="4560" w:type="dxa"/>
            <w:tcBorders>
              <w:top w:val="single" w:sz="6" w:space="0" w:color="CCCCCC"/>
              <w:left w:val="single" w:sz="6" w:space="0" w:color="CCCCCC"/>
              <w:bottom w:val="single" w:sz="6" w:space="0" w:color="CCCCCC"/>
              <w:right w:val="single" w:sz="6" w:space="0" w:color="CCCCCC"/>
            </w:tcBorders>
            <w:tcMar>
              <w:top w:w="120" w:type="dxa"/>
              <w:left w:w="160" w:type="dxa"/>
              <w:bottom w:w="120" w:type="dxa"/>
              <w:right w:w="160" w:type="dxa"/>
            </w:tcMar>
          </w:tcPr>
          <w:p w14:paraId="007096C5" w14:textId="77777777" w:rsidR="006B0B4D" w:rsidRDefault="00000000">
            <w:pPr>
              <w:spacing w:after="160"/>
            </w:pPr>
            <w:r>
              <w:rPr>
                <w:b/>
                <w:bCs/>
                <w:color w:val="212121"/>
              </w:rPr>
              <w:t>Legal Entity Name:</w:t>
            </w:r>
          </w:p>
          <w:p w14:paraId="007096C6" w14:textId="77777777" w:rsidR="006B0B4D" w:rsidRDefault="00000000">
            <w:pPr>
              <w:spacing w:after="60"/>
            </w:pPr>
            <w:r>
              <w:t xml:space="preserve"> </w:t>
            </w:r>
          </w:p>
          <w:p w14:paraId="007096C7" w14:textId="77777777" w:rsidR="006B0B4D" w:rsidRDefault="006B0B4D">
            <w:pPr>
              <w:spacing w:after="100"/>
            </w:pPr>
          </w:p>
          <w:p w14:paraId="007096C8" w14:textId="77777777" w:rsidR="006B0B4D" w:rsidRDefault="00000000">
            <w:pPr>
              <w:spacing w:after="160"/>
            </w:pPr>
            <w:r>
              <w:rPr>
                <w:b/>
                <w:bCs/>
                <w:color w:val="212121"/>
              </w:rPr>
              <w:t>Authorized Signatory (Print):</w:t>
            </w:r>
          </w:p>
          <w:p w14:paraId="007096C9" w14:textId="77777777" w:rsidR="006B0B4D" w:rsidRDefault="00000000">
            <w:pPr>
              <w:spacing w:after="60"/>
            </w:pPr>
            <w:r>
              <w:t xml:space="preserve"> </w:t>
            </w:r>
          </w:p>
          <w:p w14:paraId="007096CA" w14:textId="77777777" w:rsidR="006B0B4D" w:rsidRDefault="006B0B4D">
            <w:pPr>
              <w:spacing w:after="100"/>
            </w:pPr>
          </w:p>
          <w:p w14:paraId="007096CB" w14:textId="77777777" w:rsidR="006B0B4D" w:rsidRDefault="00000000">
            <w:pPr>
              <w:spacing w:after="160"/>
            </w:pPr>
            <w:r>
              <w:rPr>
                <w:b/>
                <w:bCs/>
                <w:color w:val="212121"/>
              </w:rPr>
              <w:t>Title:</w:t>
            </w:r>
          </w:p>
          <w:p w14:paraId="007096CC" w14:textId="77777777" w:rsidR="006B0B4D" w:rsidRDefault="00000000">
            <w:pPr>
              <w:spacing w:after="60"/>
            </w:pPr>
            <w:r>
              <w:t xml:space="preserve"> </w:t>
            </w:r>
          </w:p>
        </w:tc>
        <w:tc>
          <w:tcPr>
            <w:tcW w:w="4800" w:type="dxa"/>
            <w:tcBorders>
              <w:top w:val="single" w:sz="6" w:space="0" w:color="CCCCCC"/>
              <w:left w:val="single" w:sz="6" w:space="0" w:color="CCCCCC"/>
              <w:bottom w:val="single" w:sz="6" w:space="0" w:color="CCCCCC"/>
              <w:right w:val="single" w:sz="6" w:space="0" w:color="CCCCCC"/>
            </w:tcBorders>
            <w:tcMar>
              <w:top w:w="120" w:type="dxa"/>
              <w:left w:w="160" w:type="dxa"/>
              <w:bottom w:w="120" w:type="dxa"/>
              <w:right w:w="160" w:type="dxa"/>
            </w:tcMar>
          </w:tcPr>
          <w:p w14:paraId="007096CD" w14:textId="77777777" w:rsidR="006B0B4D" w:rsidRDefault="00000000">
            <w:pPr>
              <w:spacing w:after="160"/>
            </w:pPr>
            <w:r>
              <w:rPr>
                <w:b/>
                <w:bCs/>
                <w:color w:val="212121"/>
              </w:rPr>
              <w:t>Signature:</w:t>
            </w:r>
          </w:p>
          <w:p w14:paraId="007096CE" w14:textId="77777777" w:rsidR="006B0B4D" w:rsidRDefault="00000000">
            <w:pPr>
              <w:spacing w:after="60"/>
            </w:pPr>
            <w:r>
              <w:t xml:space="preserve"> </w:t>
            </w:r>
          </w:p>
          <w:p w14:paraId="007096CF" w14:textId="77777777" w:rsidR="006B0B4D" w:rsidRDefault="006B0B4D">
            <w:pPr>
              <w:spacing w:after="100"/>
            </w:pPr>
          </w:p>
          <w:p w14:paraId="007096D0" w14:textId="77777777" w:rsidR="006B0B4D" w:rsidRDefault="00000000">
            <w:pPr>
              <w:spacing w:after="160"/>
            </w:pPr>
            <w:r>
              <w:rPr>
                <w:b/>
                <w:bCs/>
                <w:color w:val="212121"/>
              </w:rPr>
              <w:t>Date of Execution:</w:t>
            </w:r>
          </w:p>
          <w:p w14:paraId="007096D1" w14:textId="77777777" w:rsidR="006B0B4D" w:rsidRDefault="00000000">
            <w:pPr>
              <w:spacing w:after="60"/>
            </w:pPr>
            <w:r>
              <w:t xml:space="preserve"> </w:t>
            </w:r>
          </w:p>
          <w:p w14:paraId="007096D2" w14:textId="77777777" w:rsidR="006B0B4D" w:rsidRDefault="006B0B4D">
            <w:pPr>
              <w:spacing w:after="100"/>
            </w:pPr>
          </w:p>
          <w:p w14:paraId="007096D3" w14:textId="77777777" w:rsidR="006B0B4D" w:rsidRDefault="00000000">
            <w:pPr>
              <w:spacing w:after="160"/>
            </w:pPr>
            <w:r>
              <w:rPr>
                <w:b/>
                <w:bCs/>
                <w:color w:val="212121"/>
              </w:rPr>
              <w:t>Email Address (Authorized Signatory):</w:t>
            </w:r>
          </w:p>
          <w:p w14:paraId="007096D4" w14:textId="77777777" w:rsidR="006B0B4D" w:rsidRDefault="00000000">
            <w:pPr>
              <w:spacing w:after="60"/>
            </w:pPr>
            <w:r>
              <w:t xml:space="preserve"> </w:t>
            </w:r>
          </w:p>
        </w:tc>
      </w:tr>
    </w:tbl>
    <w:p w14:paraId="007096D6" w14:textId="77777777" w:rsidR="006B0B4D" w:rsidRDefault="006B0B4D">
      <w:pPr>
        <w:spacing w:after="200"/>
      </w:pPr>
    </w:p>
    <w:p w14:paraId="007096D7" w14:textId="77777777" w:rsidR="006B0B4D" w:rsidRDefault="00000000">
      <w:pPr>
        <w:pBdr>
          <w:top w:val="single" w:sz="4" w:space="6" w:color="CCCCCC"/>
        </w:pBdr>
        <w:spacing w:before="60" w:after="60"/>
      </w:pPr>
      <w:r>
        <w:rPr>
          <w:i/>
          <w:iCs/>
          <w:color w:val="546E7A"/>
          <w:sz w:val="18"/>
          <w:szCs w:val="18"/>
        </w:rPr>
        <w:t>Huntoso, LLC  |  legal@huntoso.com  |  huntoso.com/legal  |  This exhibit is governed by and construed under the Master Subscription Agreement.</w:t>
      </w:r>
    </w:p>
    <w:sectPr w:rsidR="006B0B4D">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2904" w14:textId="77777777" w:rsidR="00C12FEB" w:rsidRDefault="00C12FEB">
      <w:r>
        <w:separator/>
      </w:r>
    </w:p>
  </w:endnote>
  <w:endnote w:type="continuationSeparator" w:id="0">
    <w:p w14:paraId="68E85397" w14:textId="77777777" w:rsidR="00C12FEB" w:rsidRDefault="00C1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96D9" w14:textId="02FF5B33" w:rsidR="006B0B4D" w:rsidRDefault="00000000">
    <w:pPr>
      <w:pBdr>
        <w:top w:val="single" w:sz="4" w:space="1" w:color="CCCCCC"/>
      </w:pBdr>
    </w:pPr>
    <w:r>
      <w:rPr>
        <w:color w:val="546E7A"/>
        <w:sz w:val="16"/>
        <w:szCs w:val="16"/>
      </w:rPr>
      <w:t xml:space="preserve">CONFIDENTIAL  |  Huntoso, LLC  |  Version 1.0  |  Effective: April 2026  |  Page </w:t>
    </w:r>
    <w:r>
      <w:rPr>
        <w:color w:val="546E7A"/>
        <w:sz w:val="16"/>
        <w:szCs w:val="16"/>
      </w:rPr>
      <w:fldChar w:fldCharType="begin"/>
    </w:r>
    <w:r>
      <w:rPr>
        <w:color w:val="546E7A"/>
        <w:sz w:val="16"/>
        <w:szCs w:val="16"/>
      </w:rPr>
      <w:instrText>PAGE</w:instrText>
    </w:r>
    <w:r>
      <w:rPr>
        <w:color w:val="546E7A"/>
        <w:sz w:val="16"/>
        <w:szCs w:val="16"/>
      </w:rPr>
      <w:fldChar w:fldCharType="separate"/>
    </w:r>
    <w:r w:rsidR="00A12333">
      <w:rPr>
        <w:noProof/>
        <w:color w:val="546E7A"/>
        <w:sz w:val="16"/>
        <w:szCs w:val="16"/>
      </w:rPr>
      <w:t>1</w:t>
    </w:r>
    <w:r>
      <w:rPr>
        <w:color w:val="546E7A"/>
        <w:sz w:val="16"/>
        <w:szCs w:val="16"/>
      </w:rPr>
      <w:fldChar w:fldCharType="end"/>
    </w:r>
    <w:r>
      <w:rPr>
        <w:color w:val="546E7A"/>
        <w:sz w:val="16"/>
        <w:szCs w:val="16"/>
      </w:rPr>
      <w:t xml:space="preserve"> of </w:t>
    </w:r>
    <w:r>
      <w:rPr>
        <w:color w:val="546E7A"/>
        <w:sz w:val="16"/>
        <w:szCs w:val="16"/>
      </w:rPr>
      <w:fldChar w:fldCharType="begin"/>
    </w:r>
    <w:r>
      <w:rPr>
        <w:color w:val="546E7A"/>
        <w:sz w:val="16"/>
        <w:szCs w:val="16"/>
      </w:rPr>
      <w:instrText>NUMPAGES</w:instrText>
    </w:r>
    <w:r>
      <w:rPr>
        <w:color w:val="546E7A"/>
        <w:sz w:val="16"/>
        <w:szCs w:val="16"/>
      </w:rPr>
      <w:fldChar w:fldCharType="separate"/>
    </w:r>
    <w:r w:rsidR="00A12333">
      <w:rPr>
        <w:noProof/>
        <w:color w:val="546E7A"/>
        <w:sz w:val="16"/>
        <w:szCs w:val="16"/>
      </w:rPr>
      <w:t>2</w:t>
    </w:r>
    <w:r>
      <w:rPr>
        <w:color w:val="546E7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589A4" w14:textId="77777777" w:rsidR="00C12FEB" w:rsidRDefault="00C12FEB">
      <w:r>
        <w:separator/>
      </w:r>
    </w:p>
  </w:footnote>
  <w:footnote w:type="continuationSeparator" w:id="0">
    <w:p w14:paraId="3641004B" w14:textId="77777777" w:rsidR="00C12FEB" w:rsidRDefault="00C12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96D8" w14:textId="77777777" w:rsidR="006B0B4D" w:rsidRDefault="00000000">
    <w:pPr>
      <w:pBdr>
        <w:bottom w:val="single" w:sz="6" w:space="1" w:color="1A237E"/>
      </w:pBdr>
    </w:pPr>
    <w:r>
      <w:rPr>
        <w:color w:val="546E7A"/>
        <w:sz w:val="18"/>
        <w:szCs w:val="18"/>
      </w:rPr>
      <w:t>Huntoso, LLC  |  Shared Responsibility &amp; Irrecoverable Data Loss Disclosure  |  Terms of Service Exhibit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6297F"/>
    <w:multiLevelType w:val="hybridMultilevel"/>
    <w:tmpl w:val="4828AA14"/>
    <w:lvl w:ilvl="0" w:tplc="751C0F10">
      <w:start w:val="1"/>
      <w:numFmt w:val="lowerLetter"/>
      <w:lvlText w:val="(%1)"/>
      <w:lvlJc w:val="left"/>
      <w:pPr>
        <w:ind w:left="900" w:hanging="420"/>
      </w:pPr>
    </w:lvl>
    <w:lvl w:ilvl="1" w:tplc="5B1A51A4">
      <w:numFmt w:val="decimal"/>
      <w:lvlText w:val=""/>
      <w:lvlJc w:val="left"/>
    </w:lvl>
    <w:lvl w:ilvl="2" w:tplc="6C8A482E">
      <w:numFmt w:val="decimal"/>
      <w:lvlText w:val=""/>
      <w:lvlJc w:val="left"/>
    </w:lvl>
    <w:lvl w:ilvl="3" w:tplc="5BF07866">
      <w:numFmt w:val="decimal"/>
      <w:lvlText w:val=""/>
      <w:lvlJc w:val="left"/>
    </w:lvl>
    <w:lvl w:ilvl="4" w:tplc="573044DA">
      <w:numFmt w:val="decimal"/>
      <w:lvlText w:val=""/>
      <w:lvlJc w:val="left"/>
    </w:lvl>
    <w:lvl w:ilvl="5" w:tplc="E1200472">
      <w:numFmt w:val="decimal"/>
      <w:lvlText w:val=""/>
      <w:lvlJc w:val="left"/>
    </w:lvl>
    <w:lvl w:ilvl="6" w:tplc="DEE21088">
      <w:numFmt w:val="decimal"/>
      <w:lvlText w:val=""/>
      <w:lvlJc w:val="left"/>
    </w:lvl>
    <w:lvl w:ilvl="7" w:tplc="7E7E2F66">
      <w:numFmt w:val="decimal"/>
      <w:lvlText w:val=""/>
      <w:lvlJc w:val="left"/>
    </w:lvl>
    <w:lvl w:ilvl="8" w:tplc="C4127152">
      <w:numFmt w:val="decimal"/>
      <w:lvlText w:val=""/>
      <w:lvlJc w:val="left"/>
    </w:lvl>
  </w:abstractNum>
  <w:abstractNum w:abstractNumId="1" w15:restartNumberingAfterBreak="0">
    <w:nsid w:val="613B688D"/>
    <w:multiLevelType w:val="hybridMultilevel"/>
    <w:tmpl w:val="47BE96F0"/>
    <w:lvl w:ilvl="0" w:tplc="0C384036">
      <w:start w:val="1"/>
      <w:numFmt w:val="bullet"/>
      <w:lvlText w:val="◦"/>
      <w:lvlJc w:val="left"/>
      <w:pPr>
        <w:ind w:left="1080" w:hanging="360"/>
      </w:pPr>
    </w:lvl>
    <w:lvl w:ilvl="1" w:tplc="E6480314">
      <w:numFmt w:val="decimal"/>
      <w:lvlText w:val=""/>
      <w:lvlJc w:val="left"/>
    </w:lvl>
    <w:lvl w:ilvl="2" w:tplc="70F6E870">
      <w:numFmt w:val="decimal"/>
      <w:lvlText w:val=""/>
      <w:lvlJc w:val="left"/>
    </w:lvl>
    <w:lvl w:ilvl="3" w:tplc="A4500228">
      <w:numFmt w:val="decimal"/>
      <w:lvlText w:val=""/>
      <w:lvlJc w:val="left"/>
    </w:lvl>
    <w:lvl w:ilvl="4" w:tplc="F04636CA">
      <w:numFmt w:val="decimal"/>
      <w:lvlText w:val=""/>
      <w:lvlJc w:val="left"/>
    </w:lvl>
    <w:lvl w:ilvl="5" w:tplc="38A09D5E">
      <w:numFmt w:val="decimal"/>
      <w:lvlText w:val=""/>
      <w:lvlJc w:val="left"/>
    </w:lvl>
    <w:lvl w:ilvl="6" w:tplc="9426E7B4">
      <w:numFmt w:val="decimal"/>
      <w:lvlText w:val=""/>
      <w:lvlJc w:val="left"/>
    </w:lvl>
    <w:lvl w:ilvl="7" w:tplc="8FD0A78C">
      <w:numFmt w:val="decimal"/>
      <w:lvlText w:val=""/>
      <w:lvlJc w:val="left"/>
    </w:lvl>
    <w:lvl w:ilvl="8" w:tplc="4D44849A">
      <w:numFmt w:val="decimal"/>
      <w:lvlText w:val=""/>
      <w:lvlJc w:val="left"/>
    </w:lvl>
  </w:abstractNum>
  <w:abstractNum w:abstractNumId="2" w15:restartNumberingAfterBreak="0">
    <w:nsid w:val="665636A0"/>
    <w:multiLevelType w:val="hybridMultilevel"/>
    <w:tmpl w:val="A822C19A"/>
    <w:lvl w:ilvl="0" w:tplc="CC74FBA6">
      <w:start w:val="1"/>
      <w:numFmt w:val="bullet"/>
      <w:lvlText w:val="•"/>
      <w:lvlJc w:val="left"/>
      <w:pPr>
        <w:ind w:left="720" w:hanging="360"/>
      </w:pPr>
    </w:lvl>
    <w:lvl w:ilvl="1" w:tplc="ABFEB872">
      <w:numFmt w:val="decimal"/>
      <w:lvlText w:val=""/>
      <w:lvlJc w:val="left"/>
    </w:lvl>
    <w:lvl w:ilvl="2" w:tplc="7F903CBC">
      <w:numFmt w:val="decimal"/>
      <w:lvlText w:val=""/>
      <w:lvlJc w:val="left"/>
    </w:lvl>
    <w:lvl w:ilvl="3" w:tplc="69FA1E08">
      <w:numFmt w:val="decimal"/>
      <w:lvlText w:val=""/>
      <w:lvlJc w:val="left"/>
    </w:lvl>
    <w:lvl w:ilvl="4" w:tplc="8F181070">
      <w:numFmt w:val="decimal"/>
      <w:lvlText w:val=""/>
      <w:lvlJc w:val="left"/>
    </w:lvl>
    <w:lvl w:ilvl="5" w:tplc="FF18C514">
      <w:numFmt w:val="decimal"/>
      <w:lvlText w:val=""/>
      <w:lvlJc w:val="left"/>
    </w:lvl>
    <w:lvl w:ilvl="6" w:tplc="02A8360C">
      <w:numFmt w:val="decimal"/>
      <w:lvlText w:val=""/>
      <w:lvlJc w:val="left"/>
    </w:lvl>
    <w:lvl w:ilvl="7" w:tplc="F0BC1758">
      <w:numFmt w:val="decimal"/>
      <w:lvlText w:val=""/>
      <w:lvlJc w:val="left"/>
    </w:lvl>
    <w:lvl w:ilvl="8" w:tplc="D940EE9E">
      <w:numFmt w:val="decimal"/>
      <w:lvlText w:val=""/>
      <w:lvlJc w:val="left"/>
    </w:lvl>
  </w:abstractNum>
  <w:abstractNum w:abstractNumId="3" w15:restartNumberingAfterBreak="0">
    <w:nsid w:val="7A3A655B"/>
    <w:multiLevelType w:val="hybridMultilevel"/>
    <w:tmpl w:val="32D44230"/>
    <w:lvl w:ilvl="0" w:tplc="BC06DD2C">
      <w:start w:val="1"/>
      <w:numFmt w:val="bullet"/>
      <w:lvlText w:val="●"/>
      <w:lvlJc w:val="left"/>
      <w:pPr>
        <w:ind w:left="720" w:hanging="360"/>
      </w:pPr>
    </w:lvl>
    <w:lvl w:ilvl="1" w:tplc="643A6DD8">
      <w:start w:val="1"/>
      <w:numFmt w:val="bullet"/>
      <w:lvlText w:val="○"/>
      <w:lvlJc w:val="left"/>
      <w:pPr>
        <w:ind w:left="1440" w:hanging="360"/>
      </w:pPr>
    </w:lvl>
    <w:lvl w:ilvl="2" w:tplc="8D1C0D4A">
      <w:start w:val="1"/>
      <w:numFmt w:val="bullet"/>
      <w:lvlText w:val="■"/>
      <w:lvlJc w:val="left"/>
      <w:pPr>
        <w:ind w:left="2160" w:hanging="360"/>
      </w:pPr>
    </w:lvl>
    <w:lvl w:ilvl="3" w:tplc="21B22322">
      <w:start w:val="1"/>
      <w:numFmt w:val="bullet"/>
      <w:lvlText w:val="●"/>
      <w:lvlJc w:val="left"/>
      <w:pPr>
        <w:ind w:left="2880" w:hanging="360"/>
      </w:pPr>
    </w:lvl>
    <w:lvl w:ilvl="4" w:tplc="5B24DE28">
      <w:start w:val="1"/>
      <w:numFmt w:val="bullet"/>
      <w:lvlText w:val="○"/>
      <w:lvlJc w:val="left"/>
      <w:pPr>
        <w:ind w:left="3600" w:hanging="360"/>
      </w:pPr>
    </w:lvl>
    <w:lvl w:ilvl="5" w:tplc="55866944">
      <w:start w:val="1"/>
      <w:numFmt w:val="bullet"/>
      <w:lvlText w:val="■"/>
      <w:lvlJc w:val="left"/>
      <w:pPr>
        <w:ind w:left="4320" w:hanging="360"/>
      </w:pPr>
    </w:lvl>
    <w:lvl w:ilvl="6" w:tplc="D49A927A">
      <w:start w:val="1"/>
      <w:numFmt w:val="bullet"/>
      <w:lvlText w:val="●"/>
      <w:lvlJc w:val="left"/>
      <w:pPr>
        <w:ind w:left="5040" w:hanging="360"/>
      </w:pPr>
    </w:lvl>
    <w:lvl w:ilvl="7" w:tplc="F1D4FB14">
      <w:start w:val="1"/>
      <w:numFmt w:val="bullet"/>
      <w:lvlText w:val="●"/>
      <w:lvlJc w:val="left"/>
      <w:pPr>
        <w:ind w:left="5760" w:hanging="360"/>
      </w:pPr>
    </w:lvl>
    <w:lvl w:ilvl="8" w:tplc="EC5E7DD2">
      <w:start w:val="1"/>
      <w:numFmt w:val="bullet"/>
      <w:lvlText w:val="●"/>
      <w:lvlJc w:val="left"/>
      <w:pPr>
        <w:ind w:left="6480" w:hanging="360"/>
      </w:pPr>
    </w:lvl>
  </w:abstractNum>
  <w:num w:numId="1" w16cid:durableId="1962764126">
    <w:abstractNumId w:val="3"/>
    <w:lvlOverride w:ilvl="0">
      <w:startOverride w:val="1"/>
    </w:lvlOverride>
  </w:num>
  <w:num w:numId="2" w16cid:durableId="124618297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B4D"/>
    <w:rsid w:val="00054427"/>
    <w:rsid w:val="005366BB"/>
    <w:rsid w:val="00562361"/>
    <w:rsid w:val="006B0B4D"/>
    <w:rsid w:val="00731808"/>
    <w:rsid w:val="008B154B"/>
    <w:rsid w:val="009437FD"/>
    <w:rsid w:val="009E6598"/>
    <w:rsid w:val="00A12333"/>
    <w:rsid w:val="00B56C4E"/>
    <w:rsid w:val="00C12FEB"/>
    <w:rsid w:val="00C27470"/>
    <w:rsid w:val="00C348A0"/>
    <w:rsid w:val="00CB20CD"/>
    <w:rsid w:val="00DA5DEB"/>
    <w:rsid w:val="00DB7737"/>
    <w:rsid w:val="00DC771A"/>
    <w:rsid w:val="00FB0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961F"/>
  <w15:docId w15:val="{F96E17D8-40C5-4055-AFAB-41299226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40"/>
      <w:outlineLvl w:val="0"/>
    </w:pPr>
    <w:rPr>
      <w:b/>
      <w:bCs/>
      <w:color w:val="1A237E"/>
      <w:sz w:val="28"/>
      <w:szCs w:val="28"/>
    </w:rPr>
  </w:style>
  <w:style w:type="paragraph" w:styleId="Heading2">
    <w:name w:val="heading 2"/>
    <w:uiPriority w:val="9"/>
    <w:unhideWhenUsed/>
    <w:qFormat/>
    <w:pPr>
      <w:spacing w:before="200" w:after="100"/>
      <w:outlineLvl w:val="1"/>
    </w:pPr>
    <w:rPr>
      <w:b/>
      <w:bCs/>
      <w:color w:val="0D47A1"/>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2222</Words>
  <Characters>13734</Characters>
  <Application>Microsoft Office Word</Application>
  <DocSecurity>0</DocSecurity>
  <Lines>312</Lines>
  <Paragraphs>157</Paragraphs>
  <ScaleCrop>false</ScaleCrop>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Hunter Brelsford</cp:lastModifiedBy>
  <cp:revision>16</cp:revision>
  <dcterms:created xsi:type="dcterms:W3CDTF">2026-04-05T03:57:00Z</dcterms:created>
  <dcterms:modified xsi:type="dcterms:W3CDTF">2026-04-05T05:17:00Z</dcterms:modified>
</cp:coreProperties>
</file>